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firstLineChars="0"/>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eastAsia="zh-CN"/>
        </w:rPr>
        <w:t>附件</w:t>
      </w:r>
      <w:r>
        <w:rPr>
          <w:rFonts w:hint="eastAsia" w:ascii="仿宋_GB2312" w:eastAsia="仿宋_GB2312" w:cs="Times New Roman"/>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Chars="0"/>
        <w:jc w:val="center"/>
        <w:textAlignment w:val="auto"/>
        <w:rPr>
          <w:rFonts w:hint="eastAsia" w:ascii="方正小标宋简体" w:hAnsi="方正小标宋简体" w:eastAsia="方正小标宋简体" w:cs="方正小标宋简体"/>
          <w:sz w:val="36"/>
          <w:szCs w:val="36"/>
          <w:highlight w:val="none"/>
          <w:lang w:val="en-US" w:eastAsia="zh-CN"/>
        </w:rPr>
      </w:pPr>
      <w:bookmarkStart w:id="0" w:name="_GoBack"/>
      <w:r>
        <w:rPr>
          <w:rFonts w:hint="eastAsia" w:ascii="方正小标宋简体" w:hAnsi="方正小标宋简体" w:eastAsia="方正小标宋简体" w:cs="方正小标宋简体"/>
          <w:sz w:val="36"/>
          <w:szCs w:val="36"/>
          <w:highlight w:val="none"/>
          <w:lang w:val="en-US" w:eastAsia="zh-CN"/>
        </w:rPr>
        <w:t>2024年度高层次项目中外双导师实地学术科研</w:t>
      </w:r>
    </w:p>
    <w:p>
      <w:pPr>
        <w:keepNext w:val="0"/>
        <w:keepLines w:val="0"/>
        <w:pageBreakBefore w:val="0"/>
        <w:widowControl w:val="0"/>
        <w:kinsoku/>
        <w:wordWrap/>
        <w:overflowPunct/>
        <w:topLinePunct w:val="0"/>
        <w:autoSpaceDE/>
        <w:autoSpaceDN/>
        <w:bidi w:val="0"/>
        <w:adjustRightInd/>
        <w:snapToGrid/>
        <w:spacing w:line="360" w:lineRule="auto"/>
        <w:ind w:left="0" w:leftChars="0" w:firstLineChars="0"/>
        <w:jc w:val="center"/>
        <w:textAlignment w:val="auto"/>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课题列表</w:t>
      </w:r>
    </w:p>
    <w:bookmarkEnd w:id="0"/>
    <w:tbl>
      <w:tblPr>
        <w:tblStyle w:val="2"/>
        <w:tblW w:w="57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107"/>
        <w:gridCol w:w="1800"/>
        <w:gridCol w:w="762"/>
        <w:gridCol w:w="732"/>
        <w:gridCol w:w="1368"/>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000" w:type="pct"/>
            <w:gridSpan w:val="7"/>
            <w:vAlign w:val="center"/>
          </w:tcPr>
          <w:p>
            <w:pPr>
              <w:jc w:val="center"/>
              <w:rPr>
                <w:rFonts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sz w:val="24"/>
                <w:highlight w:val="none"/>
              </w:rPr>
              <w:t>项目类型：</w:t>
            </w:r>
            <w:r>
              <w:rPr>
                <w:rFonts w:ascii="仿宋_GB2312" w:hAnsi="仿宋_GB2312" w:eastAsia="仿宋_GB2312" w:cs="仿宋_GB2312"/>
                <w:b/>
                <w:bCs/>
                <w:color w:val="000000"/>
                <w:sz w:val="24"/>
                <w:highlight w:val="none"/>
              </w:rPr>
              <w:t>学术研究+独作论文版</w:t>
            </w:r>
            <w:r>
              <w:rPr>
                <w:rFonts w:hint="eastAsia" w:ascii="仿宋_GB2312" w:hAnsi="仿宋_GB2312" w:eastAsia="仿宋_GB2312" w:cs="仿宋_GB2312"/>
                <w:b/>
                <w:bCs/>
                <w:color w:val="000000"/>
                <w:sz w:val="24"/>
                <w:highlight w:val="none"/>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编号</w:t>
            </w:r>
          </w:p>
        </w:tc>
        <w:tc>
          <w:tcPr>
            <w:tcW w:w="1585"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课题名称</w:t>
            </w:r>
          </w:p>
        </w:tc>
        <w:tc>
          <w:tcPr>
            <w:tcW w:w="918"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外方导师</w:t>
            </w:r>
          </w:p>
        </w:tc>
        <w:tc>
          <w:tcPr>
            <w:tcW w:w="388"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城市</w:t>
            </w:r>
          </w:p>
        </w:tc>
        <w:tc>
          <w:tcPr>
            <w:tcW w:w="373"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期数</w:t>
            </w:r>
          </w:p>
        </w:tc>
        <w:tc>
          <w:tcPr>
            <w:tcW w:w="697"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开课时间</w:t>
            </w:r>
          </w:p>
        </w:tc>
        <w:tc>
          <w:tcPr>
            <w:tcW w:w="656"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结课时间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w:t>
            </w:r>
          </w:p>
        </w:tc>
        <w:tc>
          <w:tcPr>
            <w:tcW w:w="1585" w:type="pct"/>
            <w:vAlign w:val="center"/>
          </w:tcPr>
          <w:p>
            <w:pPr>
              <w:widowControl/>
              <w:jc w:val="center"/>
              <w:rPr>
                <w:rFonts w:ascii="仿宋_GB2312" w:hAnsi="仿宋_GB2312" w:eastAsia="仿宋_GB2312"/>
                <w:color w:val="000000"/>
                <w:highlight w:val="none"/>
              </w:rPr>
            </w:pPr>
            <w:r>
              <w:rPr>
                <w:rFonts w:hint="eastAsia" w:ascii="仿宋_GB2312" w:hAnsi="仿宋_GB2312" w:eastAsia="仿宋_GB2312"/>
                <w:color w:val="000000"/>
                <w:highlight w:val="none"/>
              </w:rPr>
              <w:t>金融证券学专题：成功的金融投资都是反人性的吗？如何摆脱心理账户误导 应对“割肉”与“套牢”的选择困境</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Edoardo Gallo</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剑桥大学经济学副教授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北京</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一期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2024/7/20</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2</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行为经济学专题：人类非理性决策的实验解读与社会经济中的心理学</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Edoardo Gallo</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剑桥大学经济学副教授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北京</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一期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2024/7/20</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3</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建筑设计： 当代建筑的关系方法研究  悉尼歌剧院融合创意与市场多样互动探索建筑实践与创新</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Albena Yaneva</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哥伦比亚大学建筑理论教授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北京</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一期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2024/7/22</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4</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城市设计: 当代城市关系方法研究 探索创意空间改造促进城市活力与发展以象形图和标识系统探讨城市空间</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Albena Yaneva</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哥伦比亚大学建筑理论教授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北京</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一期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2024/7/22</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5</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传媒学专题：探究文化元素的影视化呈现与传播——如何在国际影片中讲一个动人的本土故事？</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David Howard</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南加州大学电影艺术教授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北京</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一期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2024/7/22</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6</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短片拍摄课题：剧本研讨、镜头运位和剪辑技术应用</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David Howard</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南加州大学电影艺术教授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北京</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一期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2024/7/22</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7</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进化生物学专题：探究物种形成与生命进化树的奥秘，解析生物进化对人类健康和社会的影响</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Dustin Brisson</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宾夕法尼亚大学生物学教授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北京</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一期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2024/7/22</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8</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应用数学专题：探索偏微分方程，傅里叶分析和拉格朗日方程，解析数学模型在科学与工程学中的实践应用</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Ferruccio Renzoni</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伦敦大学学院物理学教授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北京</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一期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2024/7/22</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9</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电子电气工程专题： 探究5G通信的数据传输与电磁学基础， GPS、北斗卫星及雷达传感器应用研究</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Ferruccio Renzoni</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伦敦大学学院物理学教授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北京</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一期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2024/7/22</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w:t>
            </w:r>
            <w:r>
              <w:rPr>
                <w:rFonts w:ascii="仿宋_GB2312" w:hAnsi="仿宋_GB2312" w:eastAsia="仿宋_GB2312" w:cs="仿宋_GB2312"/>
                <w:color w:val="000000"/>
                <w:sz w:val="24"/>
                <w:highlight w:val="none"/>
              </w:rPr>
              <w:t>0</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儿童文学与幼儿教育：从动画与绘本中找寻“童年的纸飞机”，探究孩童压力与儿童文学的教育意义</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Joe Sutliff Sanders</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剑桥大学英语文学教授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北京</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一期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2024/7/22</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w:t>
            </w:r>
            <w:r>
              <w:rPr>
                <w:rFonts w:ascii="仿宋_GB2312" w:hAnsi="仿宋_GB2312" w:eastAsia="仿宋_GB2312" w:cs="仿宋_GB2312"/>
                <w:color w:val="000000"/>
                <w:sz w:val="24"/>
                <w:highlight w:val="none"/>
              </w:rPr>
              <w:t>1</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语言教育专题：探究语义语用学在英语教学中的有效实践和应用</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Kimberly Ferrario</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南加州大学教育学教授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北京</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一期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2024/7/22</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w:t>
            </w:r>
            <w:r>
              <w:rPr>
                <w:rFonts w:ascii="仿宋_GB2312" w:hAnsi="仿宋_GB2312" w:eastAsia="仿宋_GB2312" w:cs="仿宋_GB2312"/>
                <w:color w:val="000000"/>
                <w:sz w:val="24"/>
                <w:highlight w:val="none"/>
              </w:rPr>
              <w:t>2</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数据科学与统计学专题：从数据可视化到故事化分析——基于R语言的数据挖掘与统计实战</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Mathew Curtis</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南加州大学传播学临床教授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北京</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一期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2024/7/22</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lang w:val="de-DE"/>
              </w:rPr>
            </w:pPr>
            <w:r>
              <w:rPr>
                <w:rFonts w:hint="eastAsia" w:ascii="仿宋_GB2312" w:hAnsi="仿宋_GB2312" w:eastAsia="仿宋_GB2312" w:cs="仿宋_GB2312"/>
                <w:color w:val="000000"/>
                <w:sz w:val="24"/>
                <w:highlight w:val="none"/>
                <w:lang w:val="de-DE"/>
              </w:rPr>
              <w:t>1</w:t>
            </w:r>
            <w:r>
              <w:rPr>
                <w:rFonts w:ascii="仿宋_GB2312" w:hAnsi="仿宋_GB2312" w:eastAsia="仿宋_GB2312" w:cs="仿宋_GB2312"/>
                <w:color w:val="000000"/>
                <w:sz w:val="24"/>
                <w:highlight w:val="none"/>
                <w:lang w:val="de-DE"/>
              </w:rPr>
              <w:t>3</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企业营销战略分析：“百度一下，你就知道”的底层逻辑，探究洗脑广告语如何轻松坐拥亿万客户</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Mathew Curtis</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南加州大学传播学临床教授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北京</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一期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2024/7/22</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w:t>
            </w:r>
            <w:r>
              <w:rPr>
                <w:rFonts w:ascii="仿宋_GB2312" w:hAnsi="仿宋_GB2312" w:eastAsia="仿宋_GB2312" w:cs="仿宋_GB2312"/>
                <w:color w:val="000000"/>
                <w:sz w:val="24"/>
                <w:highlight w:val="none"/>
              </w:rPr>
              <w:t>4</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知识产权法专题：国际视角下的品牌保护政策及商标法的实践应用</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Robert Burrell</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牛津大学法学教授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北京</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一期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2024/7/22</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w:t>
            </w:r>
            <w:r>
              <w:rPr>
                <w:rFonts w:ascii="仿宋_GB2312" w:hAnsi="仿宋_GB2312" w:eastAsia="仿宋_GB2312" w:cs="仿宋_GB2312"/>
                <w:color w:val="000000"/>
                <w:sz w:val="24"/>
                <w:highlight w:val="none"/>
              </w:rPr>
              <w:t>5</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法律与人工智能专题：聚焦法律监管下的“AI善治” 如何防范AI大模型变革浪潮下的隐私和数据泄露风险</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Robert Burrell</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牛津大学法学教授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北京</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一期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2024/7/22</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w:t>
            </w:r>
            <w:r>
              <w:rPr>
                <w:rFonts w:ascii="仿宋_GB2312" w:hAnsi="仿宋_GB2312" w:eastAsia="仿宋_GB2312" w:cs="仿宋_GB2312"/>
                <w:color w:val="000000"/>
                <w:sz w:val="24"/>
                <w:highlight w:val="none"/>
              </w:rPr>
              <w:t>6</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新闻学专题：信息的“不实”与"虚假"，数字时代的传播理论与行为研究——涉及敏感信息的传播策略</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William Drummond</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加州大学伯克利分校新闻学教授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北京</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一期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2024/7/22</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w:t>
            </w:r>
            <w:r>
              <w:rPr>
                <w:rFonts w:ascii="仿宋_GB2312" w:hAnsi="仿宋_GB2312" w:eastAsia="仿宋_GB2312" w:cs="仿宋_GB2312"/>
                <w:color w:val="000000"/>
                <w:sz w:val="24"/>
                <w:highlight w:val="none"/>
              </w:rPr>
              <w:t>7</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新媒体与社会学研究专题：女性权利沿革与性别平等</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William Drummond</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加州大学伯克利分校新闻学教授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北京</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一期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2024/7/22</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w:t>
            </w:r>
            <w:r>
              <w:rPr>
                <w:rFonts w:ascii="仿宋_GB2312" w:hAnsi="仿宋_GB2312" w:eastAsia="仿宋_GB2312" w:cs="仿宋_GB2312"/>
                <w:color w:val="000000"/>
                <w:sz w:val="24"/>
                <w:highlight w:val="none"/>
              </w:rPr>
              <w:t>8</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PPE与政治经济史专题：从工业时代到现代资本主义体系的沿革从重大历史事件洞悉美国社会思想演变与政体塑造</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Andrew Preston</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剑桥大学历史学教授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北京</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二期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2024/7/29</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w:t>
            </w:r>
            <w:r>
              <w:rPr>
                <w:rFonts w:ascii="仿宋_GB2312" w:hAnsi="仿宋_GB2312" w:eastAsia="仿宋_GB2312" w:cs="仿宋_GB2312"/>
                <w:color w:val="000000"/>
                <w:sz w:val="24"/>
                <w:highlight w:val="none"/>
              </w:rPr>
              <w:t>9</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能源科学与环境工程专题：剖析清洁能源技术与气候变化对策 构建绿色技术的可持续发展未来</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Budimir Rosic</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牛津大学机械工程教授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北京</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二期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2024/7/29</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2</w:t>
            </w:r>
            <w:r>
              <w:rPr>
                <w:rFonts w:ascii="仿宋_GB2312" w:hAnsi="仿宋_GB2312" w:eastAsia="仿宋_GB2312" w:cs="仿宋_GB2312"/>
                <w:color w:val="000000"/>
                <w:sz w:val="24"/>
                <w:highlight w:val="none"/>
              </w:rPr>
              <w:t>0</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机械工程专题：复杂流体与热力学，能量传递原理与资源可持续性</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Budimir Rosic</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牛津大学机械工程教授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北京</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二期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2024/7/29</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2</w:t>
            </w:r>
            <w:r>
              <w:rPr>
                <w:rFonts w:ascii="仿宋_GB2312" w:hAnsi="仿宋_GB2312" w:eastAsia="仿宋_GB2312" w:cs="仿宋_GB2312"/>
                <w:color w:val="000000"/>
                <w:sz w:val="24"/>
                <w:highlight w:val="none"/>
              </w:rPr>
              <w:t>1</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药物研发与制药工程：药品生产成本控制、试验监管与工业生产 以他汀类降脂药为例解读新药上市的全流程</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Michael Munday</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伦敦大学学院生命科学教授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北京</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二期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2024/7/29</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2</w:t>
            </w:r>
            <w:r>
              <w:rPr>
                <w:rFonts w:ascii="仿宋_GB2312" w:hAnsi="仿宋_GB2312" w:eastAsia="仿宋_GB2312" w:cs="仿宋_GB2312"/>
                <w:color w:val="000000"/>
                <w:sz w:val="24"/>
                <w:highlight w:val="none"/>
              </w:rPr>
              <w:t>2</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社会心理学专题： 烟草、酒精和药物成瘾的心理学干预与污名化 ——难言之“瘾”为何成为难言之隐</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Michelle R. Kaufman</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约翰斯霍普金斯大学公共卫生教授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北京</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二期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2024/7/29</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2</w:t>
            </w:r>
            <w:r>
              <w:rPr>
                <w:rFonts w:ascii="仿宋_GB2312" w:hAnsi="仿宋_GB2312" w:eastAsia="仿宋_GB2312" w:cs="仿宋_GB2312"/>
                <w:color w:val="000000"/>
                <w:sz w:val="24"/>
                <w:highlight w:val="none"/>
              </w:rPr>
              <w:t>3</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媒体与健康：社交媒体和网络如何塑造青春期的健康产出</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Michelle R. Kaufman</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约翰斯霍普金斯大学公共卫生教授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北京</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二期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2024/7/29</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2</w:t>
            </w:r>
            <w:r>
              <w:rPr>
                <w:rFonts w:ascii="仿宋_GB2312" w:hAnsi="仿宋_GB2312" w:eastAsia="仿宋_GB2312" w:cs="仿宋_GB2312"/>
                <w:color w:val="000000"/>
                <w:sz w:val="24"/>
                <w:highlight w:val="none"/>
              </w:rPr>
              <w:t>4</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纯数学专题：数论在密码系统中的应用——四大定理证明与丢番图方程求解</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Paolo Cascini</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帝国理工学院数学教授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北京</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二期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2024/7/29</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2</w:t>
            </w:r>
            <w:r>
              <w:rPr>
                <w:rFonts w:ascii="仿宋_GB2312" w:hAnsi="仿宋_GB2312" w:eastAsia="仿宋_GB2312" w:cs="仿宋_GB2312"/>
                <w:color w:val="000000"/>
                <w:sz w:val="24"/>
                <w:highlight w:val="none"/>
              </w:rPr>
              <w:t>5</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自然语言处理 NLP 课题：探究语法、语义的数学模型诠释——从机器学习算法到智能对话模型实战</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Weiwei Sun</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剑桥大学计算机科学副教授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北京</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二期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2024/7/29</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2</w:t>
            </w:r>
            <w:r>
              <w:rPr>
                <w:rFonts w:ascii="仿宋_GB2312" w:hAnsi="仿宋_GB2312" w:eastAsia="仿宋_GB2312" w:cs="仿宋_GB2312"/>
                <w:color w:val="000000"/>
                <w:sz w:val="24"/>
                <w:highlight w:val="none"/>
              </w:rPr>
              <w:t>6</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人工智能专题： 机器学习算法和模型在Python程序语言中的实践 如何基于真实文本数据实现情感分析</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Weiwei Sun</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剑桥大学计算机科学副教授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北京</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二期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2024/7/29</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2</w:t>
            </w:r>
            <w:r>
              <w:rPr>
                <w:rFonts w:ascii="仿宋_GB2312" w:hAnsi="仿宋_GB2312" w:eastAsia="仿宋_GB2312" w:cs="仿宋_GB2312"/>
                <w:color w:val="000000"/>
                <w:sz w:val="24"/>
                <w:highlight w:val="none"/>
              </w:rPr>
              <w:t>7</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数学专题：概率论与统计学的实际应用——以经典赌桌游戏为例</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Alessandra Iozzi</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苏黎世联邦理工学院数学系教授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成都</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一期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2024/7/22</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2</w:t>
            </w:r>
            <w:r>
              <w:rPr>
                <w:rFonts w:ascii="仿宋_GB2312" w:hAnsi="仿宋_GB2312" w:eastAsia="仿宋_GB2312" w:cs="仿宋_GB2312"/>
                <w:color w:val="000000"/>
                <w:sz w:val="24"/>
                <w:highlight w:val="none"/>
              </w:rPr>
              <w:t>8</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运筹学与最优化模型专题：数据驱动的工程问题决策实战——如何通过整数规划模型实现电力系统经济调度方法</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Alessandro Astolfi</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帝国理工学院电气工程教授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成都</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一期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2024/7/22</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2</w:t>
            </w:r>
            <w:r>
              <w:rPr>
                <w:rFonts w:ascii="仿宋_GB2312" w:hAnsi="仿宋_GB2312" w:eastAsia="仿宋_GB2312" w:cs="仿宋_GB2312"/>
                <w:color w:val="000000"/>
                <w:sz w:val="24"/>
                <w:highlight w:val="none"/>
              </w:rPr>
              <w:t>9</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公平教育学：一视同仁实现平等还是因材施教追求公平？</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Andrea M. Kane</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宾夕法尼亚大学教育学教授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成都</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一期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2024/7/22</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3</w:t>
            </w:r>
            <w:r>
              <w:rPr>
                <w:rFonts w:ascii="仿宋_GB2312" w:hAnsi="仿宋_GB2312" w:eastAsia="仿宋_GB2312" w:cs="仿宋_GB2312"/>
                <w:color w:val="000000"/>
                <w:sz w:val="24"/>
                <w:highlight w:val="none"/>
              </w:rPr>
              <w:t>0</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工程管理专题：决策制定风险分析和投资评估模型</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Baabak Ashuri</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佐治亚理工学院土木工程教授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成都</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一期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2024/7/22</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3</w:t>
            </w:r>
            <w:r>
              <w:rPr>
                <w:rFonts w:ascii="仿宋_GB2312" w:hAnsi="仿宋_GB2312" w:eastAsia="仿宋_GB2312" w:cs="仿宋_GB2312"/>
                <w:color w:val="000000"/>
                <w:sz w:val="24"/>
                <w:highlight w:val="none"/>
              </w:rPr>
              <w:t>1</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构建未来：民用基础设施系统 创新策略与可持续解决方案——案例研究方法</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Baabak Ashuri</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佐治亚理工学院土木工程教授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成都</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一期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2024/7/22</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3</w:t>
            </w:r>
            <w:r>
              <w:rPr>
                <w:rFonts w:ascii="仿宋_GB2312" w:hAnsi="仿宋_GB2312" w:eastAsia="仿宋_GB2312" w:cs="仿宋_GB2312"/>
                <w:color w:val="000000"/>
                <w:sz w:val="24"/>
                <w:highlight w:val="none"/>
              </w:rPr>
              <w:t>2</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热物理学专题：热机、热力学定律与热平衡——利用玻耳兹曼统计力学解释熵的本质</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Andre Leclair</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康奈尔大学物理学教授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成都</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二期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2024/7/29</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3</w:t>
            </w:r>
            <w:r>
              <w:rPr>
                <w:rFonts w:ascii="仿宋_GB2312" w:hAnsi="仿宋_GB2312" w:eastAsia="仿宋_GB2312" w:cs="仿宋_GB2312"/>
                <w:color w:val="000000"/>
                <w:sz w:val="24"/>
                <w:highlight w:val="none"/>
              </w:rPr>
              <w:t>3</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人工智能专题：神经形态智能的研究和探索——机器之“心”</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Giacomo Indiveri</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苏黎世联邦理工学院神经信息学教授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成都</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二期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2024/7/29</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3</w:t>
            </w:r>
            <w:r>
              <w:rPr>
                <w:rFonts w:ascii="仿宋_GB2312" w:hAnsi="仿宋_GB2312" w:eastAsia="仿宋_GB2312" w:cs="仿宋_GB2312"/>
                <w:color w:val="000000"/>
                <w:sz w:val="24"/>
                <w:highlight w:val="none"/>
              </w:rPr>
              <w:t>4</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电子工程实训：探索半导体物理和电路概念在硅基突触和神经元中的应用</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Giacomo Indiveri</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苏黎世联邦理工学院神经信息学教授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成都</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二期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2024/7/29</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3</w:t>
            </w:r>
            <w:r>
              <w:rPr>
                <w:rFonts w:ascii="仿宋_GB2312" w:hAnsi="仿宋_GB2312" w:eastAsia="仿宋_GB2312" w:cs="仿宋_GB2312"/>
                <w:color w:val="000000"/>
                <w:sz w:val="24"/>
                <w:highlight w:val="none"/>
              </w:rPr>
              <w:t>5</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MIS 信息系统管理专题：探究商业信息管理与数据支持决策的技术基础 ——以CRM平台的搭建与开发为例</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Jean-Claude Franchitti</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纽约大学计算机科学教授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成都</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二期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2024/7/29</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3</w:t>
            </w:r>
            <w:r>
              <w:rPr>
                <w:rFonts w:ascii="仿宋_GB2312" w:hAnsi="仿宋_GB2312" w:eastAsia="仿宋_GB2312" w:cs="仿宋_GB2312"/>
                <w:color w:val="000000"/>
                <w:sz w:val="24"/>
                <w:highlight w:val="none"/>
              </w:rPr>
              <w:t>6</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虚拟现实：基于Unity3D的场景模拟与MR技术的设备端开发</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Jean-Claude Franchitti</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纽约大学计算机科学教授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成都</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二期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2024/7/29</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3</w:t>
            </w:r>
            <w:r>
              <w:rPr>
                <w:rFonts w:ascii="仿宋_GB2312" w:hAnsi="仿宋_GB2312" w:eastAsia="仿宋_GB2312" w:cs="仿宋_GB2312"/>
                <w:color w:val="000000"/>
                <w:sz w:val="24"/>
                <w:highlight w:val="none"/>
              </w:rPr>
              <w:t>7</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ESG专题：环境经济学视角下的能源转型与碳定价研究 中国企业应如何开展国际合作推动全球可持续经济发展？</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Lorenzo Lotti</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伦敦大学学院经济学副教授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成都</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二期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2024/7/29</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3</w:t>
            </w:r>
            <w:r>
              <w:rPr>
                <w:rFonts w:ascii="仿宋_GB2312" w:hAnsi="仿宋_GB2312" w:eastAsia="仿宋_GB2312" w:cs="仿宋_GB2312"/>
                <w:color w:val="000000"/>
                <w:sz w:val="24"/>
                <w:highlight w:val="none"/>
              </w:rPr>
              <w:t>8</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生物学专题： DNA与染色体结构分析 基因测序技术在冠状病毒与农作物育种中的应用</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Michael Deyholos</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英属哥伦比亚大学生物信息学教授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成都</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二期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2024/7/29</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3</w:t>
            </w:r>
            <w:r>
              <w:rPr>
                <w:rFonts w:ascii="仿宋_GB2312" w:hAnsi="仿宋_GB2312" w:eastAsia="仿宋_GB2312" w:cs="仿宋_GB2312"/>
                <w:color w:val="000000"/>
                <w:sz w:val="24"/>
                <w:highlight w:val="none"/>
              </w:rPr>
              <w:t>9</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生物信息学：新型冠状病毒下的基因分析和疾病预防</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Michael Deyholos</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英属哥伦比亚大学生物信息学教授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成都</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二期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2024/7/29</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4</w:t>
            </w:r>
            <w:r>
              <w:rPr>
                <w:rFonts w:ascii="仿宋_GB2312" w:hAnsi="仿宋_GB2312" w:eastAsia="仿宋_GB2312" w:cs="仿宋_GB2312"/>
                <w:color w:val="000000"/>
                <w:sz w:val="24"/>
                <w:highlight w:val="none"/>
              </w:rPr>
              <w:t>0</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公司金融专题：探究公司资本结构与风投管理，通过模拟实战解读企业并购决策</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Paul Armstrong-Taylor</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约翰斯霍普金斯大学国际经济教授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成都</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二期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2024/7/29</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4</w:t>
            </w:r>
            <w:r>
              <w:rPr>
                <w:rFonts w:ascii="仿宋_GB2312" w:hAnsi="仿宋_GB2312" w:eastAsia="仿宋_GB2312" w:cs="仿宋_GB2312"/>
                <w:color w:val="000000"/>
                <w:sz w:val="24"/>
                <w:highlight w:val="none"/>
              </w:rPr>
              <w:t>1</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心理学专题：探究条件反射的心理机制，分析激励式学习背后的底层逻辑</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Henry Yin</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杜克大学神经学教授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上海</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一期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2024/7/22</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4</w:t>
            </w:r>
            <w:r>
              <w:rPr>
                <w:rFonts w:ascii="仿宋_GB2312" w:hAnsi="仿宋_GB2312" w:eastAsia="仿宋_GB2312" w:cs="仿宋_GB2312"/>
                <w:color w:val="000000"/>
                <w:sz w:val="24"/>
                <w:highlight w:val="none"/>
              </w:rPr>
              <w:t>2</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脑科学与生命科学：探究人类大脑结构与脑障碍成因，通过神经解剖学解读帕金森与精神分裂</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Henry Yin</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杜克大学神经学教授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上海</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一期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2024/7/22</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4</w:t>
            </w:r>
            <w:r>
              <w:rPr>
                <w:rFonts w:ascii="仿宋_GB2312" w:hAnsi="仿宋_GB2312" w:eastAsia="仿宋_GB2312" w:cs="仿宋_GB2312"/>
                <w:color w:val="000000"/>
                <w:sz w:val="24"/>
                <w:highlight w:val="none"/>
              </w:rPr>
              <w:t>3</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航空航天工程：飞机、火箭和宇宙飞船中的空气动力学原理与应用</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Ian Eames</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伦敦大学学院机械工程教授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上海</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一期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2024/7/22</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4</w:t>
            </w:r>
            <w:r>
              <w:rPr>
                <w:rFonts w:ascii="仿宋_GB2312" w:hAnsi="仿宋_GB2312" w:eastAsia="仿宋_GB2312" w:cs="仿宋_GB2312"/>
                <w:color w:val="000000"/>
                <w:sz w:val="24"/>
                <w:highlight w:val="none"/>
              </w:rPr>
              <w:t>4</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网页及程序编写专题： CSS、HTML语言应用到AI开发 以电商网站为例探索网页及程序设计研究及实践</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Jamie Vicary</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剑桥大学计算机科学教授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上海</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一期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2024/7/22</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4</w:t>
            </w:r>
            <w:r>
              <w:rPr>
                <w:rFonts w:ascii="仿宋_GB2312" w:hAnsi="仿宋_GB2312" w:eastAsia="仿宋_GB2312" w:cs="仿宋_GB2312"/>
                <w:color w:val="000000"/>
                <w:sz w:val="24"/>
                <w:highlight w:val="none"/>
              </w:rPr>
              <w:t>5</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人工智能：神经网络与深度学习解析 探究机器学习算法在网络安全中的实际应用</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Jamie Vicary</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剑桥大学计算机科学教授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上海</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一期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2024/7/22</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4</w:t>
            </w:r>
            <w:r>
              <w:rPr>
                <w:rFonts w:ascii="仿宋_GB2312" w:hAnsi="仿宋_GB2312" w:eastAsia="仿宋_GB2312" w:cs="仿宋_GB2312"/>
                <w:color w:val="000000"/>
                <w:sz w:val="24"/>
                <w:highlight w:val="none"/>
              </w:rPr>
              <w:t>6</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公共卫生专题：基于智慧医疗系统的全民健康促进与“未病先防” 城市人口老龄化背景下的医疗服务挑战与应对</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Jennifer Wagman</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加州大学洛杉矶分校公共卫生教授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上海</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一期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2024/7/22</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4</w:t>
            </w:r>
            <w:r>
              <w:rPr>
                <w:rFonts w:ascii="仿宋_GB2312" w:hAnsi="仿宋_GB2312" w:eastAsia="仿宋_GB2312" w:cs="仿宋_GB2312"/>
                <w:color w:val="000000"/>
                <w:sz w:val="24"/>
                <w:highlight w:val="none"/>
              </w:rPr>
              <w:t>7</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性别研究专题：关注“LGBTQ群体”的定制化医疗与健康服务 探索性别平等公共政策的制定与宣传</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Jennifer Wagman</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加州大学洛杉矶分校公共卫生教授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上海</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一期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2024/7/22</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4</w:t>
            </w:r>
            <w:r>
              <w:rPr>
                <w:rFonts w:ascii="仿宋_GB2312" w:hAnsi="仿宋_GB2312" w:eastAsia="仿宋_GB2312" w:cs="仿宋_GB2312"/>
                <w:color w:val="000000"/>
                <w:sz w:val="24"/>
                <w:highlight w:val="none"/>
              </w:rPr>
              <w:t>8</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管理学与创新创业：以创意引领的市场洞察与产品设计 如何以“原型测试”快速验证市场需求？</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Oguz A. Acar</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伦敦国王学院营销与创新教授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上海</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一期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2024/7/22</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4</w:t>
            </w:r>
            <w:r>
              <w:rPr>
                <w:rFonts w:ascii="仿宋_GB2312" w:hAnsi="仿宋_GB2312" w:eastAsia="仿宋_GB2312" w:cs="仿宋_GB2312"/>
                <w:color w:val="000000"/>
                <w:sz w:val="24"/>
                <w:highlight w:val="none"/>
              </w:rPr>
              <w:t>9</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市场营销课题：数字时代营销战略定位、差异化与市场细分研究</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Oguz A. Acar</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伦敦国王学院营销与创新教授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上海</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一期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2024/7/22</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5</w:t>
            </w:r>
            <w:r>
              <w:rPr>
                <w:rFonts w:ascii="仿宋_GB2312" w:hAnsi="仿宋_GB2312" w:eastAsia="仿宋_GB2312" w:cs="仿宋_GB2312"/>
                <w:color w:val="000000"/>
                <w:sz w:val="24"/>
                <w:highlight w:val="none"/>
              </w:rPr>
              <w:t>0</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物理学专题：从夸克到黑洞，粒子衰变如何牵动宇宙膨胀——借助量子理论追求物理界统一定律</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Philip Clark</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爱丁堡大学物理学教授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上海</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一期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2024/7/22</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5</w:t>
            </w:r>
            <w:r>
              <w:rPr>
                <w:rFonts w:ascii="仿宋_GB2312" w:hAnsi="仿宋_GB2312" w:eastAsia="仿宋_GB2312" w:cs="仿宋_GB2312"/>
                <w:color w:val="000000"/>
                <w:sz w:val="24"/>
                <w:highlight w:val="none"/>
              </w:rPr>
              <w:t>1</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环境科学: 以“欧洲热浪”等极端天气为例解读气候变化——利用“雏菊世界模型”探寻可持续发展的未来方向</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Wenhong Li</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杜克大学环境科学教授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上海</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一期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2024/7/22</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5</w:t>
            </w:r>
            <w:r>
              <w:rPr>
                <w:rFonts w:ascii="仿宋_GB2312" w:hAnsi="仿宋_GB2312" w:eastAsia="仿宋_GB2312" w:cs="仿宋_GB2312"/>
                <w:color w:val="000000"/>
                <w:sz w:val="24"/>
                <w:highlight w:val="none"/>
              </w:rPr>
              <w:t>2</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语言教育专题：双语课堂与教学法——从阅读文本评估到创意写作工坊设计</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Carmen M. Martinez-Roldan</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哥伦比亚大学教育学教授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上海</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二期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2024/7/29</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5</w:t>
            </w:r>
            <w:r>
              <w:rPr>
                <w:rFonts w:ascii="仿宋_GB2312" w:hAnsi="仿宋_GB2312" w:eastAsia="仿宋_GB2312" w:cs="仿宋_GB2312"/>
                <w:color w:val="000000"/>
                <w:sz w:val="24"/>
                <w:highlight w:val="none"/>
              </w:rPr>
              <w:t>3</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潮流文化与城市全球化：躺平还是蛰伏？Z世代的反抗与救赎，探索艺术媒体背后的社会文化</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Daniel E. Agbiboa</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哈佛大学人类学教授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上海</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二期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2024/7/29</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5</w:t>
            </w:r>
            <w:r>
              <w:rPr>
                <w:rFonts w:ascii="仿宋_GB2312" w:hAnsi="仿宋_GB2312" w:eastAsia="仿宋_GB2312" w:cs="仿宋_GB2312"/>
                <w:color w:val="000000"/>
                <w:sz w:val="24"/>
                <w:highlight w:val="none"/>
              </w:rPr>
              <w:t>4</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生活中的化学：从食品安全，食品制作到可持续发展，探索化学在生活中的“黑科技”</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Roberto Rinaldi</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帝国理工学院化学工程副教授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上海</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二期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2024/7/29</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0" w:type="pct"/>
            <w:vAlign w:val="center"/>
          </w:tcPr>
          <w:p>
            <w:pPr>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5</w:t>
            </w:r>
            <w:r>
              <w:rPr>
                <w:rFonts w:ascii="仿宋_GB2312" w:hAnsi="仿宋_GB2312" w:eastAsia="仿宋_GB2312" w:cs="仿宋_GB2312"/>
                <w:color w:val="000000"/>
                <w:sz w:val="24"/>
                <w:highlight w:val="none"/>
              </w:rPr>
              <w:t>5</w:t>
            </w:r>
          </w:p>
        </w:tc>
        <w:tc>
          <w:tcPr>
            <w:tcW w:w="1585"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材料创新与电子工程EE专题：探究前沿半导体加工与纳米技术在环保新能源领域中的应用及发展</w:t>
            </w:r>
          </w:p>
        </w:tc>
        <w:tc>
          <w:tcPr>
            <w:tcW w:w="91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Stefan Guldin</w:t>
            </w:r>
          </w:p>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伦敦大学学院纳米材料教授</w:t>
            </w:r>
          </w:p>
        </w:tc>
        <w:tc>
          <w:tcPr>
            <w:tcW w:w="388"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上海</w:t>
            </w:r>
          </w:p>
        </w:tc>
        <w:tc>
          <w:tcPr>
            <w:tcW w:w="373"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二期</w:t>
            </w:r>
          </w:p>
        </w:tc>
        <w:tc>
          <w:tcPr>
            <w:tcW w:w="697"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2024/7/29</w:t>
            </w:r>
          </w:p>
        </w:tc>
        <w:tc>
          <w:tcPr>
            <w:tcW w:w="656" w:type="pct"/>
            <w:vAlign w:val="center"/>
          </w:tcPr>
          <w:p>
            <w:pPr>
              <w:jc w:val="center"/>
              <w:rPr>
                <w:rFonts w:hint="eastAsia" w:ascii="仿宋_GB2312" w:hAnsi="仿宋_GB2312" w:eastAsia="仿宋_GB2312"/>
                <w:color w:val="000000"/>
                <w:highlight w:val="none"/>
              </w:rPr>
            </w:pPr>
            <w:r>
              <w:rPr>
                <w:rFonts w:hint="eastAsia" w:ascii="仿宋_GB2312" w:hAnsi="仿宋_GB2312" w:eastAsia="仿宋_GB2312"/>
                <w:color w:val="000000"/>
                <w:highlight w:val="none"/>
              </w:rPr>
              <w:t>2024/8/9</w:t>
            </w:r>
          </w:p>
        </w:tc>
      </w:tr>
    </w:tbl>
    <w:p>
      <w:pPr>
        <w:widowControl/>
        <w:jc w:val="left"/>
        <w:rPr>
          <w:rFonts w:ascii="方正小标宋简体" w:hAnsi="方正小标宋简体" w:eastAsia="方正小标宋简体" w:cs="方正小标宋简体"/>
          <w:color w:val="0C0C0C"/>
          <w:kern w:val="0"/>
          <w:sz w:val="36"/>
          <w:szCs w:val="36"/>
          <w:highlight w:val="none"/>
        </w:rPr>
      </w:pPr>
    </w:p>
    <w:tbl>
      <w:tblPr>
        <w:tblStyle w:val="2"/>
        <w:tblW w:w="5749" w:type="pct"/>
        <w:tblInd w:w="-6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138"/>
        <w:gridCol w:w="1787"/>
        <w:gridCol w:w="763"/>
        <w:gridCol w:w="750"/>
        <w:gridCol w:w="1325"/>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000" w:type="pct"/>
            <w:gridSpan w:val="7"/>
            <w:vAlign w:val="center"/>
          </w:tcPr>
          <w:p>
            <w:pPr>
              <w:jc w:val="center"/>
              <w:rPr>
                <w:rFonts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sz w:val="24"/>
                <w:highlight w:val="none"/>
              </w:rPr>
              <w:t>项目类型：学术研究提升版</w:t>
            </w:r>
            <w:r>
              <w:rPr>
                <w:rFonts w:ascii="仿宋_GB2312" w:hAnsi="仿宋_GB2312" w:eastAsia="仿宋_GB2312" w:cs="仿宋_GB2312"/>
                <w:b/>
                <w:bCs/>
                <w:color w:val="000000"/>
                <w:sz w:val="24"/>
                <w:highlight w:val="none"/>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76" w:type="pct"/>
            <w:vAlign w:val="center"/>
          </w:tcPr>
          <w:p>
            <w:pPr>
              <w:jc w:val="center"/>
              <w:rPr>
                <w:rFonts w:hint="eastAsia" w:ascii="仿宋_GB2312" w:hAnsi="仿宋_GB2312" w:eastAsia="仿宋_GB2312" w:cs="仿宋_GB2312"/>
                <w:b/>
                <w:bCs/>
                <w:color w:val="000000"/>
                <w:sz w:val="24"/>
                <w:highlight w:val="none"/>
              </w:rPr>
            </w:pPr>
            <w:r>
              <w:rPr>
                <w:rFonts w:hint="eastAsia" w:ascii="仿宋_GB2312" w:hAnsi="仿宋_GB2312" w:eastAsia="仿宋_GB2312" w:cs="仿宋_GB2312"/>
                <w:color w:val="000000"/>
                <w:sz w:val="24"/>
                <w:highlight w:val="none"/>
              </w:rPr>
              <w:t>编号</w:t>
            </w:r>
          </w:p>
        </w:tc>
        <w:tc>
          <w:tcPr>
            <w:tcW w:w="1601" w:type="pct"/>
            <w:vAlign w:val="center"/>
          </w:tcPr>
          <w:p>
            <w:pPr>
              <w:jc w:val="center"/>
              <w:rPr>
                <w:rFonts w:hint="eastAsia" w:ascii="仿宋_GB2312" w:hAnsi="仿宋_GB2312" w:eastAsia="仿宋_GB2312" w:cs="仿宋_GB2312"/>
                <w:b/>
                <w:bCs/>
                <w:color w:val="000000"/>
                <w:sz w:val="24"/>
                <w:highlight w:val="none"/>
              </w:rPr>
            </w:pPr>
            <w:r>
              <w:rPr>
                <w:rFonts w:hint="eastAsia" w:ascii="仿宋_GB2312" w:hAnsi="仿宋_GB2312" w:eastAsia="仿宋_GB2312" w:cs="仿宋_GB2312"/>
                <w:color w:val="000000"/>
                <w:sz w:val="24"/>
                <w:highlight w:val="none"/>
              </w:rPr>
              <w:t>课题名称</w:t>
            </w:r>
          </w:p>
        </w:tc>
        <w:tc>
          <w:tcPr>
            <w:tcW w:w="911" w:type="pct"/>
            <w:vAlign w:val="center"/>
          </w:tcPr>
          <w:p>
            <w:pPr>
              <w:jc w:val="center"/>
              <w:rPr>
                <w:rFonts w:hint="eastAsia" w:ascii="仿宋_GB2312" w:hAnsi="仿宋_GB2312" w:eastAsia="仿宋_GB2312" w:cs="仿宋_GB2312"/>
                <w:b/>
                <w:bCs/>
                <w:color w:val="000000"/>
                <w:sz w:val="24"/>
                <w:highlight w:val="none"/>
              </w:rPr>
            </w:pPr>
            <w:r>
              <w:rPr>
                <w:rFonts w:hint="eastAsia" w:ascii="仿宋_GB2312" w:hAnsi="仿宋_GB2312" w:eastAsia="仿宋_GB2312" w:cs="仿宋_GB2312"/>
                <w:color w:val="000000"/>
                <w:sz w:val="24"/>
                <w:highlight w:val="none"/>
              </w:rPr>
              <w:t>外方导师</w:t>
            </w:r>
          </w:p>
        </w:tc>
        <w:tc>
          <w:tcPr>
            <w:tcW w:w="389" w:type="pct"/>
            <w:vAlign w:val="center"/>
          </w:tcPr>
          <w:p>
            <w:pPr>
              <w:jc w:val="center"/>
              <w:rPr>
                <w:rFonts w:hint="eastAsia" w:ascii="仿宋_GB2312" w:hAnsi="仿宋_GB2312" w:eastAsia="仿宋_GB2312" w:cs="仿宋_GB2312"/>
                <w:b/>
                <w:bCs/>
                <w:color w:val="000000"/>
                <w:sz w:val="24"/>
                <w:highlight w:val="none"/>
              </w:rPr>
            </w:pPr>
            <w:r>
              <w:rPr>
                <w:rFonts w:hint="eastAsia" w:ascii="仿宋_GB2312" w:hAnsi="仿宋_GB2312" w:eastAsia="仿宋_GB2312" w:cs="仿宋_GB2312"/>
                <w:color w:val="000000"/>
                <w:sz w:val="24"/>
                <w:highlight w:val="none"/>
              </w:rPr>
              <w:t>城市</w:t>
            </w:r>
          </w:p>
        </w:tc>
        <w:tc>
          <w:tcPr>
            <w:tcW w:w="382" w:type="pct"/>
            <w:vAlign w:val="center"/>
          </w:tcPr>
          <w:p>
            <w:pPr>
              <w:jc w:val="center"/>
              <w:rPr>
                <w:rFonts w:hint="eastAsia" w:ascii="仿宋_GB2312" w:hAnsi="仿宋_GB2312" w:eastAsia="仿宋_GB2312" w:cs="仿宋_GB2312"/>
                <w:b/>
                <w:bCs/>
                <w:color w:val="000000"/>
                <w:sz w:val="24"/>
                <w:highlight w:val="none"/>
              </w:rPr>
            </w:pPr>
            <w:r>
              <w:rPr>
                <w:rFonts w:hint="eastAsia" w:ascii="仿宋_GB2312" w:hAnsi="仿宋_GB2312" w:eastAsia="仿宋_GB2312" w:cs="仿宋_GB2312"/>
                <w:color w:val="000000"/>
                <w:sz w:val="24"/>
                <w:highlight w:val="none"/>
              </w:rPr>
              <w:t>期数</w:t>
            </w:r>
          </w:p>
        </w:tc>
        <w:tc>
          <w:tcPr>
            <w:tcW w:w="676" w:type="pct"/>
            <w:vAlign w:val="center"/>
          </w:tcPr>
          <w:p>
            <w:pPr>
              <w:jc w:val="center"/>
              <w:rPr>
                <w:rFonts w:hint="eastAsia" w:ascii="仿宋_GB2312" w:hAnsi="仿宋_GB2312" w:eastAsia="仿宋_GB2312" w:cs="仿宋_GB2312"/>
                <w:b/>
                <w:bCs/>
                <w:color w:val="000000"/>
                <w:sz w:val="24"/>
                <w:highlight w:val="none"/>
              </w:rPr>
            </w:pPr>
            <w:r>
              <w:rPr>
                <w:rFonts w:hint="eastAsia" w:ascii="仿宋_GB2312" w:hAnsi="仿宋_GB2312" w:eastAsia="仿宋_GB2312" w:cs="仿宋_GB2312"/>
                <w:color w:val="000000"/>
                <w:sz w:val="24"/>
                <w:highlight w:val="none"/>
              </w:rPr>
              <w:t>开课时间</w:t>
            </w:r>
          </w:p>
        </w:tc>
        <w:tc>
          <w:tcPr>
            <w:tcW w:w="663" w:type="pct"/>
            <w:vAlign w:val="center"/>
          </w:tcPr>
          <w:p>
            <w:pPr>
              <w:jc w:val="center"/>
              <w:rPr>
                <w:rFonts w:hint="eastAsia" w:ascii="仿宋_GB2312" w:hAnsi="仿宋_GB2312" w:eastAsia="仿宋_GB2312" w:cs="仿宋_GB2312"/>
                <w:b/>
                <w:bCs/>
                <w:color w:val="000000"/>
                <w:sz w:val="24"/>
                <w:highlight w:val="none"/>
              </w:rPr>
            </w:pPr>
            <w:r>
              <w:rPr>
                <w:rFonts w:hint="eastAsia" w:ascii="仿宋_GB2312" w:hAnsi="仿宋_GB2312" w:eastAsia="仿宋_GB2312" w:cs="仿宋_GB2312"/>
                <w:color w:val="000000"/>
                <w:sz w:val="24"/>
                <w:highlight w:val="none"/>
              </w:rPr>
              <w:t>结课时间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76" w:type="pct"/>
            <w:vAlign w:val="center"/>
          </w:tcPr>
          <w:p>
            <w:pPr>
              <w:jc w:val="center"/>
              <w:rPr>
                <w:rFonts w:ascii="仿宋_GB2312" w:hAnsi="仿宋_GB2312" w:eastAsia="仿宋_GB2312" w:cs="仿宋_GB2312"/>
                <w:color w:val="000000"/>
                <w:sz w:val="21"/>
                <w:szCs w:val="21"/>
                <w:highlight w:val="none"/>
              </w:rPr>
            </w:pPr>
            <w:r>
              <w:rPr>
                <w:rFonts w:ascii="仿宋_GB2312" w:hAnsi="仿宋_GB2312" w:eastAsia="仿宋_GB2312" w:cs="仿宋_GB2312"/>
                <w:color w:val="000000"/>
                <w:sz w:val="21"/>
                <w:szCs w:val="21"/>
                <w:highlight w:val="none"/>
              </w:rPr>
              <w:t>1</w:t>
            </w:r>
          </w:p>
        </w:tc>
        <w:tc>
          <w:tcPr>
            <w:tcW w:w="1601" w:type="pct"/>
            <w:vAlign w:val="center"/>
          </w:tcPr>
          <w:p>
            <w:pPr>
              <w:jc w:val="center"/>
              <w:rPr>
                <w:rFonts w:ascii="仿宋_GB2312" w:hAnsi="仿宋_GB2312" w:eastAsia="仿宋_GB2312" w:cs="仿宋_GB2312"/>
                <w:color w:val="000000"/>
                <w:sz w:val="21"/>
                <w:szCs w:val="21"/>
                <w:highlight w:val="none"/>
              </w:rPr>
            </w:pPr>
            <w:r>
              <w:rPr>
                <w:rFonts w:ascii="仿宋_GB2312" w:hAnsi="仿宋_GB2312" w:eastAsia="仿宋_GB2312" w:cs="仿宋_GB2312"/>
                <w:color w:val="000000"/>
                <w:sz w:val="21"/>
                <w:szCs w:val="21"/>
                <w:highlight w:val="none"/>
              </w:rPr>
              <w:t>如何有效激发学习动机为学生营造包容的学习环境？</w:t>
            </w:r>
          </w:p>
        </w:tc>
        <w:tc>
          <w:tcPr>
            <w:tcW w:w="911" w:type="pct"/>
            <w:vAlign w:val="center"/>
          </w:tcPr>
          <w:p>
            <w:pPr>
              <w:jc w:val="center"/>
              <w:rPr>
                <w:rFonts w:ascii="仿宋_GB2312" w:hAnsi="仿宋_GB2312" w:eastAsia="仿宋_GB2312" w:cs="仿宋_GB2312"/>
                <w:color w:val="000000"/>
                <w:sz w:val="21"/>
                <w:szCs w:val="21"/>
                <w:highlight w:val="none"/>
              </w:rPr>
            </w:pPr>
            <w:r>
              <w:rPr>
                <w:rFonts w:ascii="仿宋_GB2312" w:hAnsi="仿宋_GB2312" w:eastAsia="仿宋_GB2312" w:cs="仿宋_GB2312"/>
                <w:color w:val="000000"/>
                <w:sz w:val="21"/>
                <w:szCs w:val="21"/>
                <w:highlight w:val="none"/>
              </w:rPr>
              <w:t>Kimberly Ferrario</w:t>
            </w:r>
          </w:p>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南加州大学教育学教授</w:t>
            </w:r>
          </w:p>
        </w:tc>
        <w:tc>
          <w:tcPr>
            <w:tcW w:w="389" w:type="pct"/>
            <w:vAlign w:val="center"/>
          </w:tcPr>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北京</w:t>
            </w:r>
          </w:p>
        </w:tc>
        <w:tc>
          <w:tcPr>
            <w:tcW w:w="382" w:type="pct"/>
            <w:vAlign w:val="center"/>
          </w:tcPr>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一期</w:t>
            </w:r>
          </w:p>
        </w:tc>
        <w:tc>
          <w:tcPr>
            <w:tcW w:w="676" w:type="pct"/>
            <w:vAlign w:val="center"/>
          </w:tcPr>
          <w:p>
            <w:pPr>
              <w:jc w:val="center"/>
              <w:rPr>
                <w:rFonts w:ascii="仿宋_GB2312" w:hAnsi="仿宋_GB2312" w:eastAsia="仿宋_GB2312" w:cs="Arial"/>
                <w:sz w:val="21"/>
                <w:szCs w:val="21"/>
                <w:highlight w:val="none"/>
              </w:rPr>
            </w:pPr>
            <w:r>
              <w:rPr>
                <w:rFonts w:ascii="仿宋_GB2312" w:hAnsi="仿宋_GB2312" w:eastAsia="仿宋_GB2312" w:cs="Arial"/>
                <w:sz w:val="21"/>
                <w:szCs w:val="21"/>
                <w:highlight w:val="none"/>
              </w:rPr>
              <w:t>2024</w:t>
            </w:r>
            <w:r>
              <w:rPr>
                <w:rFonts w:hint="eastAsia" w:ascii="仿宋_GB2312" w:hAnsi="仿宋_GB2312" w:eastAsia="仿宋_GB2312" w:cs="Arial"/>
                <w:sz w:val="21"/>
                <w:szCs w:val="21"/>
                <w:highlight w:val="none"/>
                <w:lang w:val="en-US" w:eastAsia="zh-CN"/>
              </w:rPr>
              <w:t>/</w:t>
            </w:r>
            <w:r>
              <w:rPr>
                <w:rFonts w:ascii="仿宋_GB2312" w:hAnsi="仿宋_GB2312" w:eastAsia="仿宋_GB2312" w:cs="Arial"/>
                <w:sz w:val="21"/>
                <w:szCs w:val="21"/>
                <w:highlight w:val="none"/>
              </w:rPr>
              <w:t>7</w:t>
            </w:r>
            <w:r>
              <w:rPr>
                <w:rFonts w:hint="eastAsia" w:ascii="仿宋_GB2312" w:hAnsi="仿宋_GB2312" w:eastAsia="仿宋_GB2312" w:cs="Arial"/>
                <w:sz w:val="21"/>
                <w:szCs w:val="21"/>
                <w:highlight w:val="none"/>
                <w:lang w:val="en-US" w:eastAsia="zh-CN"/>
              </w:rPr>
              <w:t>/</w:t>
            </w:r>
            <w:r>
              <w:rPr>
                <w:rFonts w:ascii="仿宋_GB2312" w:hAnsi="仿宋_GB2312" w:eastAsia="仿宋_GB2312" w:cs="Arial"/>
                <w:sz w:val="21"/>
                <w:szCs w:val="21"/>
                <w:highlight w:val="none"/>
              </w:rPr>
              <w:t>21</w:t>
            </w:r>
          </w:p>
        </w:tc>
        <w:tc>
          <w:tcPr>
            <w:tcW w:w="663" w:type="pct"/>
            <w:vAlign w:val="center"/>
          </w:tcPr>
          <w:p>
            <w:pPr>
              <w:jc w:val="center"/>
              <w:rPr>
                <w:rFonts w:ascii="仿宋_GB2312" w:hAnsi="仿宋_GB2312" w:eastAsia="仿宋_GB2312" w:cs="Arial"/>
                <w:sz w:val="21"/>
                <w:szCs w:val="21"/>
                <w:highlight w:val="none"/>
              </w:rPr>
            </w:pPr>
            <w:r>
              <w:rPr>
                <w:rFonts w:ascii="仿宋_GB2312" w:hAnsi="仿宋_GB2312" w:eastAsia="仿宋_GB2312" w:cs="Arial"/>
                <w:sz w:val="21"/>
                <w:szCs w:val="21"/>
                <w:highlight w:val="none"/>
              </w:rPr>
              <w:t>2024</w:t>
            </w:r>
            <w:r>
              <w:rPr>
                <w:rFonts w:hint="eastAsia" w:ascii="仿宋_GB2312" w:hAnsi="仿宋_GB2312" w:eastAsia="仿宋_GB2312" w:cs="Arial"/>
                <w:sz w:val="21"/>
                <w:szCs w:val="21"/>
                <w:highlight w:val="none"/>
                <w:lang w:val="en-US" w:eastAsia="zh-CN"/>
              </w:rPr>
              <w:t>/</w:t>
            </w:r>
            <w:r>
              <w:rPr>
                <w:rFonts w:ascii="仿宋_GB2312" w:hAnsi="仿宋_GB2312" w:eastAsia="仿宋_GB2312" w:cs="Arial"/>
                <w:sz w:val="21"/>
                <w:szCs w:val="21"/>
                <w:highlight w:val="none"/>
              </w:rPr>
              <w:t>7</w:t>
            </w:r>
            <w:r>
              <w:rPr>
                <w:rFonts w:hint="eastAsia" w:ascii="仿宋_GB2312" w:hAnsi="仿宋_GB2312" w:eastAsia="仿宋_GB2312" w:cs="Arial"/>
                <w:sz w:val="21"/>
                <w:szCs w:val="21"/>
                <w:highlight w:val="none"/>
                <w:lang w:val="en-US" w:eastAsia="zh-CN"/>
              </w:rPr>
              <w:t>/</w:t>
            </w:r>
            <w:r>
              <w:rPr>
                <w:rFonts w:ascii="仿宋_GB2312" w:hAnsi="仿宋_GB2312" w:eastAsia="仿宋_GB2312" w:cs="Arial"/>
                <w:sz w:val="21"/>
                <w:szCs w:val="21"/>
                <w:highlight w:val="non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76" w:type="pct"/>
            <w:vAlign w:val="center"/>
          </w:tcPr>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2</w:t>
            </w:r>
          </w:p>
        </w:tc>
        <w:tc>
          <w:tcPr>
            <w:tcW w:w="1601" w:type="pct"/>
            <w:vAlign w:val="center"/>
          </w:tcPr>
          <w:p>
            <w:pPr>
              <w:jc w:val="center"/>
              <w:rPr>
                <w:rFonts w:ascii="仿宋_GB2312" w:hAnsi="仿宋_GB2312" w:eastAsia="仿宋_GB2312" w:cs="仿宋_GB2312"/>
                <w:color w:val="000000"/>
                <w:sz w:val="21"/>
                <w:szCs w:val="21"/>
                <w:highlight w:val="none"/>
              </w:rPr>
            </w:pPr>
            <w:r>
              <w:rPr>
                <w:rFonts w:ascii="仿宋_GB2312" w:hAnsi="仿宋_GB2312" w:eastAsia="仿宋_GB2312" w:cs="仿宋_GB2312"/>
                <w:color w:val="000000"/>
                <w:sz w:val="21"/>
                <w:szCs w:val="21"/>
                <w:highlight w:val="none"/>
              </w:rPr>
              <w:t>中草药与天然药物会是II型糖尿病的大众治疗方案吗？</w:t>
            </w:r>
          </w:p>
        </w:tc>
        <w:tc>
          <w:tcPr>
            <w:tcW w:w="911" w:type="pct"/>
            <w:vAlign w:val="center"/>
          </w:tcPr>
          <w:p>
            <w:pPr>
              <w:jc w:val="center"/>
              <w:rPr>
                <w:rFonts w:ascii="仿宋_GB2312" w:hAnsi="仿宋_GB2312" w:eastAsia="仿宋_GB2312" w:cs="仿宋_GB2312"/>
                <w:color w:val="000000"/>
                <w:sz w:val="21"/>
                <w:szCs w:val="21"/>
                <w:highlight w:val="none"/>
              </w:rPr>
            </w:pPr>
            <w:r>
              <w:rPr>
                <w:rFonts w:ascii="仿宋_GB2312" w:hAnsi="仿宋_GB2312" w:eastAsia="仿宋_GB2312" w:cs="仿宋_GB2312"/>
                <w:color w:val="000000"/>
                <w:sz w:val="21"/>
                <w:szCs w:val="21"/>
                <w:highlight w:val="none"/>
              </w:rPr>
              <w:t>Michael Munday</w:t>
            </w:r>
          </w:p>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伦敦大学学院生命科学教授</w:t>
            </w:r>
          </w:p>
        </w:tc>
        <w:tc>
          <w:tcPr>
            <w:tcW w:w="389" w:type="pct"/>
            <w:vAlign w:val="center"/>
          </w:tcPr>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北京</w:t>
            </w:r>
          </w:p>
        </w:tc>
        <w:tc>
          <w:tcPr>
            <w:tcW w:w="382" w:type="pct"/>
            <w:vAlign w:val="center"/>
          </w:tcPr>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二期</w:t>
            </w:r>
          </w:p>
        </w:tc>
        <w:tc>
          <w:tcPr>
            <w:tcW w:w="676" w:type="pct"/>
            <w:vAlign w:val="center"/>
          </w:tcPr>
          <w:p>
            <w:pPr>
              <w:jc w:val="center"/>
              <w:rPr>
                <w:rFonts w:ascii="仿宋_GB2312" w:hAnsi="仿宋_GB2312" w:eastAsia="仿宋_GB2312" w:cs="Arial"/>
                <w:sz w:val="21"/>
                <w:szCs w:val="21"/>
                <w:highlight w:val="none"/>
              </w:rPr>
            </w:pPr>
            <w:r>
              <w:rPr>
                <w:rFonts w:ascii="仿宋_GB2312" w:hAnsi="仿宋_GB2312" w:eastAsia="仿宋_GB2312" w:cs="Arial"/>
                <w:sz w:val="21"/>
                <w:szCs w:val="21"/>
                <w:highlight w:val="none"/>
              </w:rPr>
              <w:t>2024</w:t>
            </w:r>
            <w:r>
              <w:rPr>
                <w:rFonts w:hint="eastAsia" w:ascii="仿宋_GB2312" w:hAnsi="仿宋_GB2312" w:eastAsia="仿宋_GB2312" w:cs="Arial"/>
                <w:sz w:val="21"/>
                <w:szCs w:val="21"/>
                <w:highlight w:val="none"/>
                <w:lang w:val="en-US" w:eastAsia="zh-CN"/>
              </w:rPr>
              <w:t>/</w:t>
            </w:r>
            <w:r>
              <w:rPr>
                <w:rFonts w:ascii="仿宋_GB2312" w:hAnsi="仿宋_GB2312" w:eastAsia="仿宋_GB2312" w:cs="Arial"/>
                <w:sz w:val="21"/>
                <w:szCs w:val="21"/>
                <w:highlight w:val="none"/>
              </w:rPr>
              <w:t>7</w:t>
            </w:r>
            <w:r>
              <w:rPr>
                <w:rFonts w:hint="eastAsia" w:ascii="仿宋_GB2312" w:hAnsi="仿宋_GB2312" w:eastAsia="仿宋_GB2312" w:cs="Arial"/>
                <w:sz w:val="21"/>
                <w:szCs w:val="21"/>
                <w:highlight w:val="none"/>
                <w:lang w:val="en-US" w:eastAsia="zh-CN"/>
              </w:rPr>
              <w:t>/</w:t>
            </w:r>
            <w:r>
              <w:rPr>
                <w:rFonts w:ascii="仿宋_GB2312" w:hAnsi="仿宋_GB2312" w:eastAsia="仿宋_GB2312" w:cs="Arial"/>
                <w:sz w:val="21"/>
                <w:szCs w:val="21"/>
                <w:highlight w:val="none"/>
              </w:rPr>
              <w:t>28</w:t>
            </w:r>
          </w:p>
        </w:tc>
        <w:tc>
          <w:tcPr>
            <w:tcW w:w="663" w:type="pct"/>
            <w:vAlign w:val="center"/>
          </w:tcPr>
          <w:p>
            <w:pPr>
              <w:jc w:val="center"/>
              <w:rPr>
                <w:rFonts w:ascii="仿宋_GB2312" w:hAnsi="仿宋_GB2312" w:eastAsia="仿宋_GB2312" w:cs="Arial"/>
                <w:sz w:val="21"/>
                <w:szCs w:val="21"/>
                <w:highlight w:val="none"/>
              </w:rPr>
            </w:pPr>
            <w:r>
              <w:rPr>
                <w:rFonts w:ascii="仿宋_GB2312" w:hAnsi="仿宋_GB2312" w:eastAsia="仿宋_GB2312" w:cs="Arial"/>
                <w:sz w:val="21"/>
                <w:szCs w:val="21"/>
                <w:highlight w:val="none"/>
              </w:rPr>
              <w:t>2024</w:t>
            </w:r>
            <w:r>
              <w:rPr>
                <w:rFonts w:hint="eastAsia" w:ascii="仿宋_GB2312" w:hAnsi="仿宋_GB2312" w:eastAsia="仿宋_GB2312" w:cs="Arial"/>
                <w:sz w:val="21"/>
                <w:szCs w:val="21"/>
                <w:highlight w:val="none"/>
                <w:lang w:val="en-US" w:eastAsia="zh-CN"/>
              </w:rPr>
              <w:t>/</w:t>
            </w:r>
            <w:r>
              <w:rPr>
                <w:rFonts w:ascii="仿宋_GB2312" w:hAnsi="仿宋_GB2312" w:eastAsia="仿宋_GB2312" w:cs="Arial"/>
                <w:sz w:val="21"/>
                <w:szCs w:val="21"/>
                <w:highlight w:val="none"/>
              </w:rPr>
              <w:t>8</w:t>
            </w:r>
            <w:r>
              <w:rPr>
                <w:rFonts w:hint="eastAsia" w:ascii="仿宋_GB2312" w:hAnsi="仿宋_GB2312" w:eastAsia="仿宋_GB2312" w:cs="Arial"/>
                <w:sz w:val="21"/>
                <w:szCs w:val="21"/>
                <w:highlight w:val="none"/>
                <w:lang w:val="en-US" w:eastAsia="zh-CN"/>
              </w:rPr>
              <w:t>/</w:t>
            </w:r>
            <w:r>
              <w:rPr>
                <w:rFonts w:ascii="仿宋_GB2312" w:hAnsi="仿宋_GB2312" w:eastAsia="仿宋_GB2312" w:cs="Arial"/>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76" w:type="pct"/>
            <w:vAlign w:val="center"/>
          </w:tcPr>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3</w:t>
            </w:r>
          </w:p>
        </w:tc>
        <w:tc>
          <w:tcPr>
            <w:tcW w:w="1601" w:type="pct"/>
            <w:vAlign w:val="center"/>
          </w:tcPr>
          <w:p>
            <w:pPr>
              <w:jc w:val="center"/>
              <w:rPr>
                <w:rFonts w:ascii="仿宋_GB2312" w:hAnsi="仿宋_GB2312" w:eastAsia="仿宋_GB2312" w:cs="仿宋_GB2312"/>
                <w:color w:val="000000"/>
                <w:sz w:val="21"/>
                <w:szCs w:val="21"/>
                <w:highlight w:val="none"/>
              </w:rPr>
            </w:pPr>
            <w:r>
              <w:rPr>
                <w:rFonts w:ascii="仿宋_GB2312" w:hAnsi="仿宋_GB2312" w:eastAsia="仿宋_GB2312" w:cs="仿宋_GB2312"/>
                <w:color w:val="000000"/>
                <w:sz w:val="21"/>
                <w:szCs w:val="21"/>
                <w:highlight w:val="none"/>
              </w:rPr>
              <w:t>如何从行为经济学角度引导可持续消费选择？——中国的可持续社区与低碳经济生活构建</w:t>
            </w:r>
          </w:p>
        </w:tc>
        <w:tc>
          <w:tcPr>
            <w:tcW w:w="911" w:type="pct"/>
            <w:vAlign w:val="center"/>
          </w:tcPr>
          <w:p>
            <w:pPr>
              <w:jc w:val="center"/>
              <w:rPr>
                <w:rFonts w:ascii="仿宋_GB2312" w:hAnsi="仿宋_GB2312" w:eastAsia="仿宋_GB2312" w:cs="仿宋_GB2312"/>
                <w:color w:val="000000"/>
                <w:sz w:val="21"/>
                <w:szCs w:val="21"/>
                <w:highlight w:val="none"/>
              </w:rPr>
            </w:pPr>
            <w:r>
              <w:rPr>
                <w:rFonts w:ascii="仿宋_GB2312" w:hAnsi="仿宋_GB2312" w:eastAsia="仿宋_GB2312" w:cs="仿宋_GB2312"/>
                <w:color w:val="000000"/>
                <w:sz w:val="21"/>
                <w:szCs w:val="21"/>
                <w:highlight w:val="none"/>
              </w:rPr>
              <w:t>Lorenzo Lotti</w:t>
            </w:r>
          </w:p>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伦敦大学学院经济学副教授</w:t>
            </w:r>
          </w:p>
        </w:tc>
        <w:tc>
          <w:tcPr>
            <w:tcW w:w="389" w:type="pct"/>
            <w:vAlign w:val="center"/>
          </w:tcPr>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成都</w:t>
            </w:r>
          </w:p>
        </w:tc>
        <w:tc>
          <w:tcPr>
            <w:tcW w:w="382" w:type="pct"/>
            <w:vAlign w:val="center"/>
          </w:tcPr>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一期</w:t>
            </w:r>
          </w:p>
        </w:tc>
        <w:tc>
          <w:tcPr>
            <w:tcW w:w="676" w:type="pct"/>
            <w:vAlign w:val="center"/>
          </w:tcPr>
          <w:p>
            <w:pPr>
              <w:jc w:val="center"/>
              <w:rPr>
                <w:rFonts w:ascii="仿宋_GB2312" w:hAnsi="仿宋_GB2312" w:eastAsia="仿宋_GB2312" w:cs="Arial"/>
                <w:sz w:val="21"/>
                <w:szCs w:val="21"/>
                <w:highlight w:val="none"/>
              </w:rPr>
            </w:pPr>
            <w:r>
              <w:rPr>
                <w:rFonts w:ascii="仿宋_GB2312" w:hAnsi="仿宋_GB2312" w:eastAsia="仿宋_GB2312" w:cs="Arial"/>
                <w:sz w:val="21"/>
                <w:szCs w:val="21"/>
                <w:highlight w:val="none"/>
              </w:rPr>
              <w:t>2024</w:t>
            </w:r>
            <w:r>
              <w:rPr>
                <w:rFonts w:hint="eastAsia" w:ascii="仿宋_GB2312" w:hAnsi="仿宋_GB2312" w:eastAsia="仿宋_GB2312" w:cs="Arial"/>
                <w:sz w:val="21"/>
                <w:szCs w:val="21"/>
                <w:highlight w:val="none"/>
                <w:lang w:val="en-US" w:eastAsia="zh-CN"/>
              </w:rPr>
              <w:t>/</w:t>
            </w:r>
            <w:r>
              <w:rPr>
                <w:rFonts w:ascii="仿宋_GB2312" w:hAnsi="仿宋_GB2312" w:eastAsia="仿宋_GB2312" w:cs="Arial"/>
                <w:sz w:val="21"/>
                <w:szCs w:val="21"/>
                <w:highlight w:val="none"/>
              </w:rPr>
              <w:t>7</w:t>
            </w:r>
            <w:r>
              <w:rPr>
                <w:rFonts w:hint="eastAsia" w:ascii="仿宋_GB2312" w:hAnsi="仿宋_GB2312" w:eastAsia="仿宋_GB2312" w:cs="Arial"/>
                <w:sz w:val="21"/>
                <w:szCs w:val="21"/>
                <w:highlight w:val="none"/>
                <w:lang w:val="en-US" w:eastAsia="zh-CN"/>
              </w:rPr>
              <w:t>/</w:t>
            </w:r>
            <w:r>
              <w:rPr>
                <w:rFonts w:ascii="仿宋_GB2312" w:hAnsi="仿宋_GB2312" w:eastAsia="仿宋_GB2312" w:cs="Arial"/>
                <w:sz w:val="21"/>
                <w:szCs w:val="21"/>
                <w:highlight w:val="none"/>
              </w:rPr>
              <w:t>21</w:t>
            </w:r>
          </w:p>
        </w:tc>
        <w:tc>
          <w:tcPr>
            <w:tcW w:w="663" w:type="pct"/>
            <w:vAlign w:val="center"/>
          </w:tcPr>
          <w:p>
            <w:pPr>
              <w:jc w:val="center"/>
              <w:rPr>
                <w:rFonts w:ascii="仿宋_GB2312" w:hAnsi="仿宋_GB2312" w:eastAsia="仿宋_GB2312" w:cs="Arial"/>
                <w:sz w:val="21"/>
                <w:szCs w:val="21"/>
                <w:highlight w:val="none"/>
              </w:rPr>
            </w:pPr>
            <w:r>
              <w:rPr>
                <w:rFonts w:ascii="仿宋_GB2312" w:hAnsi="仿宋_GB2312" w:eastAsia="仿宋_GB2312" w:cs="Arial"/>
                <w:sz w:val="21"/>
                <w:szCs w:val="21"/>
                <w:highlight w:val="none"/>
              </w:rPr>
              <w:t>2024</w:t>
            </w:r>
            <w:r>
              <w:rPr>
                <w:rFonts w:hint="eastAsia" w:ascii="仿宋_GB2312" w:hAnsi="仿宋_GB2312" w:eastAsia="仿宋_GB2312" w:cs="Arial"/>
                <w:sz w:val="21"/>
                <w:szCs w:val="21"/>
                <w:highlight w:val="none"/>
                <w:lang w:val="en-US" w:eastAsia="zh-CN"/>
              </w:rPr>
              <w:t>/</w:t>
            </w:r>
            <w:r>
              <w:rPr>
                <w:rFonts w:ascii="仿宋_GB2312" w:hAnsi="仿宋_GB2312" w:eastAsia="仿宋_GB2312" w:cs="Arial"/>
                <w:sz w:val="21"/>
                <w:szCs w:val="21"/>
                <w:highlight w:val="none"/>
              </w:rPr>
              <w:t>7</w:t>
            </w:r>
            <w:r>
              <w:rPr>
                <w:rFonts w:hint="eastAsia" w:ascii="仿宋_GB2312" w:hAnsi="仿宋_GB2312" w:eastAsia="仿宋_GB2312" w:cs="Arial"/>
                <w:sz w:val="21"/>
                <w:szCs w:val="21"/>
                <w:highlight w:val="none"/>
                <w:lang w:val="en-US" w:eastAsia="zh-CN"/>
              </w:rPr>
              <w:t>/</w:t>
            </w:r>
            <w:r>
              <w:rPr>
                <w:rFonts w:ascii="仿宋_GB2312" w:hAnsi="仿宋_GB2312" w:eastAsia="仿宋_GB2312" w:cs="Arial"/>
                <w:sz w:val="21"/>
                <w:szCs w:val="21"/>
                <w:highlight w:val="non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76" w:type="pct"/>
            <w:vAlign w:val="center"/>
          </w:tcPr>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4</w:t>
            </w:r>
          </w:p>
        </w:tc>
        <w:tc>
          <w:tcPr>
            <w:tcW w:w="1601" w:type="pct"/>
            <w:vAlign w:val="center"/>
          </w:tcPr>
          <w:p>
            <w:pPr>
              <w:jc w:val="center"/>
              <w:rPr>
                <w:rFonts w:ascii="仿宋_GB2312" w:hAnsi="仿宋_GB2312" w:eastAsia="仿宋_GB2312" w:cs="仿宋_GB2312"/>
                <w:color w:val="000000"/>
                <w:sz w:val="21"/>
                <w:szCs w:val="21"/>
                <w:highlight w:val="none"/>
              </w:rPr>
            </w:pPr>
            <w:r>
              <w:rPr>
                <w:rFonts w:ascii="仿宋_GB2312" w:hAnsi="仿宋_GB2312" w:eastAsia="仿宋_GB2312" w:cs="仿宋_GB2312"/>
                <w:color w:val="000000"/>
                <w:sz w:val="21"/>
                <w:szCs w:val="21"/>
                <w:highlight w:val="none"/>
              </w:rPr>
              <w:t>网红股票GME暴涨320%事件揭示了哪些金融市场本质？</w:t>
            </w:r>
          </w:p>
        </w:tc>
        <w:tc>
          <w:tcPr>
            <w:tcW w:w="911" w:type="pct"/>
            <w:vAlign w:val="center"/>
          </w:tcPr>
          <w:p>
            <w:pPr>
              <w:jc w:val="center"/>
              <w:rPr>
                <w:rFonts w:ascii="仿宋_GB2312" w:hAnsi="仿宋_GB2312" w:eastAsia="仿宋_GB2312" w:cs="仿宋_GB2312"/>
                <w:color w:val="000000"/>
                <w:sz w:val="21"/>
                <w:szCs w:val="21"/>
                <w:highlight w:val="none"/>
              </w:rPr>
            </w:pPr>
            <w:r>
              <w:rPr>
                <w:rFonts w:ascii="仿宋_GB2312" w:hAnsi="仿宋_GB2312" w:eastAsia="仿宋_GB2312" w:cs="仿宋_GB2312"/>
                <w:color w:val="000000"/>
                <w:sz w:val="21"/>
                <w:szCs w:val="21"/>
                <w:highlight w:val="none"/>
              </w:rPr>
              <w:t>Gbenga Ibikunle</w:t>
            </w:r>
          </w:p>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爱丁堡大学金融学教授</w:t>
            </w:r>
          </w:p>
        </w:tc>
        <w:tc>
          <w:tcPr>
            <w:tcW w:w="389" w:type="pct"/>
            <w:vAlign w:val="center"/>
          </w:tcPr>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上海</w:t>
            </w:r>
          </w:p>
        </w:tc>
        <w:tc>
          <w:tcPr>
            <w:tcW w:w="382" w:type="pct"/>
            <w:vAlign w:val="center"/>
          </w:tcPr>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一期</w:t>
            </w:r>
          </w:p>
        </w:tc>
        <w:tc>
          <w:tcPr>
            <w:tcW w:w="676" w:type="pct"/>
            <w:vAlign w:val="center"/>
          </w:tcPr>
          <w:p>
            <w:pPr>
              <w:jc w:val="center"/>
              <w:rPr>
                <w:rFonts w:ascii="仿宋_GB2312" w:hAnsi="仿宋_GB2312" w:eastAsia="仿宋_GB2312" w:cs="Arial"/>
                <w:sz w:val="21"/>
                <w:szCs w:val="21"/>
                <w:highlight w:val="none"/>
              </w:rPr>
            </w:pPr>
            <w:r>
              <w:rPr>
                <w:rFonts w:ascii="仿宋_GB2312" w:hAnsi="仿宋_GB2312" w:eastAsia="仿宋_GB2312" w:cs="Arial"/>
                <w:sz w:val="21"/>
                <w:szCs w:val="21"/>
                <w:highlight w:val="none"/>
              </w:rPr>
              <w:t>2024</w:t>
            </w:r>
            <w:r>
              <w:rPr>
                <w:rFonts w:hint="eastAsia" w:ascii="仿宋_GB2312" w:hAnsi="仿宋_GB2312" w:eastAsia="仿宋_GB2312" w:cs="Arial"/>
                <w:sz w:val="21"/>
                <w:szCs w:val="21"/>
                <w:highlight w:val="none"/>
                <w:lang w:val="en-US" w:eastAsia="zh-CN"/>
              </w:rPr>
              <w:t>/</w:t>
            </w:r>
            <w:r>
              <w:rPr>
                <w:rFonts w:ascii="仿宋_GB2312" w:hAnsi="仿宋_GB2312" w:eastAsia="仿宋_GB2312" w:cs="Arial"/>
                <w:sz w:val="21"/>
                <w:szCs w:val="21"/>
                <w:highlight w:val="none"/>
              </w:rPr>
              <w:t>7</w:t>
            </w:r>
            <w:r>
              <w:rPr>
                <w:rFonts w:hint="eastAsia" w:ascii="仿宋_GB2312" w:hAnsi="仿宋_GB2312" w:eastAsia="仿宋_GB2312" w:cs="Arial"/>
                <w:sz w:val="21"/>
                <w:szCs w:val="21"/>
                <w:highlight w:val="none"/>
                <w:lang w:val="en-US" w:eastAsia="zh-CN"/>
              </w:rPr>
              <w:t>/</w:t>
            </w:r>
            <w:r>
              <w:rPr>
                <w:rFonts w:ascii="仿宋_GB2312" w:hAnsi="仿宋_GB2312" w:eastAsia="仿宋_GB2312" w:cs="Arial"/>
                <w:sz w:val="21"/>
                <w:szCs w:val="21"/>
                <w:highlight w:val="none"/>
              </w:rPr>
              <w:t>22</w:t>
            </w:r>
          </w:p>
        </w:tc>
        <w:tc>
          <w:tcPr>
            <w:tcW w:w="663" w:type="pct"/>
            <w:vAlign w:val="center"/>
          </w:tcPr>
          <w:p>
            <w:pPr>
              <w:jc w:val="center"/>
              <w:rPr>
                <w:rFonts w:ascii="仿宋_GB2312" w:hAnsi="仿宋_GB2312" w:eastAsia="仿宋_GB2312" w:cs="Arial"/>
                <w:sz w:val="21"/>
                <w:szCs w:val="21"/>
                <w:highlight w:val="none"/>
              </w:rPr>
            </w:pPr>
            <w:r>
              <w:rPr>
                <w:rFonts w:ascii="仿宋_GB2312" w:hAnsi="仿宋_GB2312" w:eastAsia="仿宋_GB2312" w:cs="Arial"/>
                <w:sz w:val="21"/>
                <w:szCs w:val="21"/>
                <w:highlight w:val="none"/>
              </w:rPr>
              <w:t>2024</w:t>
            </w:r>
            <w:r>
              <w:rPr>
                <w:rFonts w:hint="eastAsia" w:ascii="仿宋_GB2312" w:hAnsi="仿宋_GB2312" w:eastAsia="仿宋_GB2312" w:cs="Arial"/>
                <w:sz w:val="21"/>
                <w:szCs w:val="21"/>
                <w:highlight w:val="none"/>
                <w:lang w:val="en-US" w:eastAsia="zh-CN"/>
              </w:rPr>
              <w:t>/</w:t>
            </w:r>
            <w:r>
              <w:rPr>
                <w:rFonts w:ascii="仿宋_GB2312" w:hAnsi="仿宋_GB2312" w:eastAsia="仿宋_GB2312" w:cs="Arial"/>
                <w:sz w:val="21"/>
                <w:szCs w:val="21"/>
                <w:highlight w:val="none"/>
              </w:rPr>
              <w:t>7</w:t>
            </w:r>
            <w:r>
              <w:rPr>
                <w:rFonts w:hint="eastAsia" w:ascii="仿宋_GB2312" w:hAnsi="仿宋_GB2312" w:eastAsia="仿宋_GB2312" w:cs="Arial"/>
                <w:sz w:val="21"/>
                <w:szCs w:val="21"/>
                <w:highlight w:val="none"/>
                <w:lang w:val="en-US" w:eastAsia="zh-CN"/>
              </w:rPr>
              <w:t>/</w:t>
            </w:r>
            <w:r>
              <w:rPr>
                <w:rFonts w:ascii="仿宋_GB2312" w:hAnsi="仿宋_GB2312" w:eastAsia="仿宋_GB2312" w:cs="Arial"/>
                <w:sz w:val="21"/>
                <w:szCs w:val="21"/>
                <w:highlight w:val="non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76" w:type="pct"/>
            <w:vAlign w:val="center"/>
          </w:tcPr>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5</w:t>
            </w:r>
          </w:p>
        </w:tc>
        <w:tc>
          <w:tcPr>
            <w:tcW w:w="1601" w:type="pct"/>
            <w:vAlign w:val="center"/>
          </w:tcPr>
          <w:p>
            <w:pPr>
              <w:jc w:val="center"/>
              <w:rPr>
                <w:rFonts w:ascii="仿宋_GB2312" w:hAnsi="仿宋_GB2312" w:eastAsia="仿宋_GB2312" w:cs="仿宋_GB2312"/>
                <w:color w:val="000000"/>
                <w:sz w:val="21"/>
                <w:szCs w:val="21"/>
                <w:highlight w:val="none"/>
              </w:rPr>
            </w:pPr>
            <w:r>
              <w:rPr>
                <w:rFonts w:ascii="仿宋_GB2312" w:hAnsi="仿宋_GB2312" w:eastAsia="仿宋_GB2312" w:cs="仿宋_GB2312"/>
                <w:color w:val="000000"/>
                <w:sz w:val="21"/>
                <w:szCs w:val="21"/>
                <w:highlight w:val="none"/>
              </w:rPr>
              <w:t>如何实现零碳交通运输？ 航运、汽车与船舶的绿色之路</w:t>
            </w:r>
          </w:p>
        </w:tc>
        <w:tc>
          <w:tcPr>
            <w:tcW w:w="911" w:type="pct"/>
            <w:vAlign w:val="center"/>
          </w:tcPr>
          <w:p>
            <w:pPr>
              <w:jc w:val="center"/>
              <w:rPr>
                <w:rFonts w:ascii="仿宋_GB2312" w:hAnsi="仿宋_GB2312" w:eastAsia="仿宋_GB2312" w:cs="仿宋_GB2312"/>
                <w:color w:val="000000"/>
                <w:sz w:val="21"/>
                <w:szCs w:val="21"/>
                <w:highlight w:val="none"/>
              </w:rPr>
            </w:pPr>
            <w:r>
              <w:rPr>
                <w:rFonts w:ascii="仿宋_GB2312" w:hAnsi="仿宋_GB2312" w:eastAsia="仿宋_GB2312" w:cs="仿宋_GB2312"/>
                <w:color w:val="000000"/>
                <w:sz w:val="21"/>
                <w:szCs w:val="21"/>
                <w:highlight w:val="none"/>
              </w:rPr>
              <w:t>Ian Eames</w:t>
            </w:r>
          </w:p>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伦敦大学学院机械工程教授</w:t>
            </w:r>
          </w:p>
        </w:tc>
        <w:tc>
          <w:tcPr>
            <w:tcW w:w="389" w:type="pct"/>
            <w:vAlign w:val="center"/>
          </w:tcPr>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上海</w:t>
            </w:r>
          </w:p>
        </w:tc>
        <w:tc>
          <w:tcPr>
            <w:tcW w:w="382" w:type="pct"/>
            <w:vAlign w:val="center"/>
          </w:tcPr>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一期</w:t>
            </w:r>
          </w:p>
        </w:tc>
        <w:tc>
          <w:tcPr>
            <w:tcW w:w="676" w:type="pct"/>
            <w:vAlign w:val="center"/>
          </w:tcPr>
          <w:p>
            <w:pPr>
              <w:jc w:val="center"/>
              <w:rPr>
                <w:rFonts w:ascii="仿宋_GB2312" w:hAnsi="仿宋_GB2312" w:eastAsia="仿宋_GB2312" w:cs="Arial"/>
                <w:sz w:val="21"/>
                <w:szCs w:val="21"/>
                <w:highlight w:val="none"/>
              </w:rPr>
            </w:pPr>
            <w:r>
              <w:rPr>
                <w:rFonts w:ascii="仿宋_GB2312" w:hAnsi="仿宋_GB2312" w:eastAsia="仿宋_GB2312" w:cs="Arial"/>
                <w:sz w:val="21"/>
                <w:szCs w:val="21"/>
                <w:highlight w:val="none"/>
              </w:rPr>
              <w:t>2024</w:t>
            </w:r>
            <w:r>
              <w:rPr>
                <w:rFonts w:hint="eastAsia" w:ascii="仿宋_GB2312" w:hAnsi="仿宋_GB2312" w:eastAsia="仿宋_GB2312" w:cs="Arial"/>
                <w:sz w:val="21"/>
                <w:szCs w:val="21"/>
                <w:highlight w:val="none"/>
                <w:lang w:val="en-US" w:eastAsia="zh-CN"/>
              </w:rPr>
              <w:t>/</w:t>
            </w:r>
            <w:r>
              <w:rPr>
                <w:rFonts w:ascii="仿宋_GB2312" w:hAnsi="仿宋_GB2312" w:eastAsia="仿宋_GB2312" w:cs="Arial"/>
                <w:sz w:val="21"/>
                <w:szCs w:val="21"/>
                <w:highlight w:val="none"/>
              </w:rPr>
              <w:t>7</w:t>
            </w:r>
            <w:r>
              <w:rPr>
                <w:rFonts w:hint="eastAsia" w:ascii="仿宋_GB2312" w:hAnsi="仿宋_GB2312" w:eastAsia="仿宋_GB2312" w:cs="Arial"/>
                <w:sz w:val="21"/>
                <w:szCs w:val="21"/>
                <w:highlight w:val="none"/>
                <w:lang w:val="en-US" w:eastAsia="zh-CN"/>
              </w:rPr>
              <w:t>/</w:t>
            </w:r>
            <w:r>
              <w:rPr>
                <w:rFonts w:ascii="仿宋_GB2312" w:hAnsi="仿宋_GB2312" w:eastAsia="仿宋_GB2312" w:cs="Arial"/>
                <w:sz w:val="21"/>
                <w:szCs w:val="21"/>
                <w:highlight w:val="none"/>
              </w:rPr>
              <w:t>21</w:t>
            </w:r>
          </w:p>
        </w:tc>
        <w:tc>
          <w:tcPr>
            <w:tcW w:w="663" w:type="pct"/>
            <w:vAlign w:val="center"/>
          </w:tcPr>
          <w:p>
            <w:pPr>
              <w:jc w:val="center"/>
              <w:rPr>
                <w:rFonts w:ascii="仿宋_GB2312" w:hAnsi="仿宋_GB2312" w:eastAsia="仿宋_GB2312" w:cs="Arial"/>
                <w:sz w:val="21"/>
                <w:szCs w:val="21"/>
                <w:highlight w:val="none"/>
              </w:rPr>
            </w:pPr>
            <w:r>
              <w:rPr>
                <w:rFonts w:ascii="仿宋_GB2312" w:hAnsi="仿宋_GB2312" w:eastAsia="仿宋_GB2312" w:cs="Arial"/>
                <w:sz w:val="21"/>
                <w:szCs w:val="21"/>
                <w:highlight w:val="none"/>
              </w:rPr>
              <w:t>2024</w:t>
            </w:r>
            <w:r>
              <w:rPr>
                <w:rFonts w:hint="eastAsia" w:ascii="仿宋_GB2312" w:hAnsi="仿宋_GB2312" w:eastAsia="仿宋_GB2312" w:cs="Arial"/>
                <w:sz w:val="21"/>
                <w:szCs w:val="21"/>
                <w:highlight w:val="none"/>
                <w:lang w:val="en-US" w:eastAsia="zh-CN"/>
              </w:rPr>
              <w:t>/</w:t>
            </w:r>
            <w:r>
              <w:rPr>
                <w:rFonts w:ascii="仿宋_GB2312" w:hAnsi="仿宋_GB2312" w:eastAsia="仿宋_GB2312" w:cs="Arial"/>
                <w:sz w:val="21"/>
                <w:szCs w:val="21"/>
                <w:highlight w:val="none"/>
              </w:rPr>
              <w:t>7</w:t>
            </w:r>
            <w:r>
              <w:rPr>
                <w:rFonts w:hint="eastAsia" w:ascii="仿宋_GB2312" w:hAnsi="仿宋_GB2312" w:eastAsia="仿宋_GB2312" w:cs="Arial"/>
                <w:sz w:val="21"/>
                <w:szCs w:val="21"/>
                <w:highlight w:val="none"/>
                <w:lang w:val="en-US" w:eastAsia="zh-CN"/>
              </w:rPr>
              <w:t>/</w:t>
            </w:r>
            <w:r>
              <w:rPr>
                <w:rFonts w:ascii="仿宋_GB2312" w:hAnsi="仿宋_GB2312" w:eastAsia="仿宋_GB2312" w:cs="Arial"/>
                <w:sz w:val="21"/>
                <w:szCs w:val="21"/>
                <w:highlight w:val="non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76" w:type="pct"/>
            <w:vAlign w:val="center"/>
          </w:tcPr>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6</w:t>
            </w:r>
          </w:p>
        </w:tc>
        <w:tc>
          <w:tcPr>
            <w:tcW w:w="1601" w:type="pct"/>
            <w:vAlign w:val="center"/>
          </w:tcPr>
          <w:p>
            <w:pPr>
              <w:jc w:val="center"/>
              <w:rPr>
                <w:rFonts w:ascii="仿宋_GB2312" w:hAnsi="仿宋_GB2312" w:eastAsia="仿宋_GB2312" w:cs="仿宋_GB2312"/>
                <w:color w:val="000000"/>
                <w:sz w:val="21"/>
                <w:szCs w:val="21"/>
                <w:highlight w:val="none"/>
              </w:rPr>
            </w:pPr>
            <w:r>
              <w:rPr>
                <w:rFonts w:ascii="仿宋_GB2312" w:hAnsi="仿宋_GB2312" w:eastAsia="仿宋_GB2312" w:cs="仿宋_GB2312"/>
                <w:color w:val="000000"/>
                <w:sz w:val="21"/>
                <w:szCs w:val="21"/>
                <w:highlight w:val="none"/>
              </w:rPr>
              <w:t>爱因斯坦的“相对论”能否助力星际旅行成为现实？</w:t>
            </w:r>
          </w:p>
        </w:tc>
        <w:tc>
          <w:tcPr>
            <w:tcW w:w="911" w:type="pct"/>
            <w:vAlign w:val="center"/>
          </w:tcPr>
          <w:p>
            <w:pPr>
              <w:jc w:val="center"/>
              <w:rPr>
                <w:rFonts w:ascii="仿宋_GB2312" w:hAnsi="仿宋_GB2312" w:eastAsia="仿宋_GB2312" w:cs="仿宋_GB2312"/>
                <w:color w:val="000000"/>
                <w:sz w:val="21"/>
                <w:szCs w:val="21"/>
                <w:highlight w:val="none"/>
              </w:rPr>
            </w:pPr>
            <w:r>
              <w:rPr>
                <w:rFonts w:ascii="仿宋_GB2312" w:hAnsi="仿宋_GB2312" w:eastAsia="仿宋_GB2312" w:cs="仿宋_GB2312"/>
                <w:color w:val="000000"/>
                <w:sz w:val="21"/>
                <w:szCs w:val="21"/>
                <w:highlight w:val="none"/>
              </w:rPr>
              <w:t>Philip Clark</w:t>
            </w:r>
          </w:p>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爱丁堡大学物理学教授</w:t>
            </w:r>
          </w:p>
        </w:tc>
        <w:tc>
          <w:tcPr>
            <w:tcW w:w="389" w:type="pct"/>
            <w:vAlign w:val="center"/>
          </w:tcPr>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上海</w:t>
            </w:r>
          </w:p>
        </w:tc>
        <w:tc>
          <w:tcPr>
            <w:tcW w:w="382" w:type="pct"/>
            <w:vAlign w:val="center"/>
          </w:tcPr>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一期</w:t>
            </w:r>
          </w:p>
        </w:tc>
        <w:tc>
          <w:tcPr>
            <w:tcW w:w="676" w:type="pct"/>
            <w:vAlign w:val="center"/>
          </w:tcPr>
          <w:p>
            <w:pPr>
              <w:jc w:val="center"/>
              <w:rPr>
                <w:rFonts w:ascii="仿宋_GB2312" w:hAnsi="仿宋_GB2312" w:eastAsia="仿宋_GB2312" w:cs="Arial"/>
                <w:sz w:val="21"/>
                <w:szCs w:val="21"/>
                <w:highlight w:val="none"/>
              </w:rPr>
            </w:pPr>
            <w:r>
              <w:rPr>
                <w:rFonts w:ascii="仿宋_GB2312" w:hAnsi="仿宋_GB2312" w:eastAsia="仿宋_GB2312" w:cs="Arial"/>
                <w:sz w:val="21"/>
                <w:szCs w:val="21"/>
                <w:highlight w:val="none"/>
              </w:rPr>
              <w:t>2024</w:t>
            </w:r>
            <w:r>
              <w:rPr>
                <w:rFonts w:hint="eastAsia" w:ascii="仿宋_GB2312" w:hAnsi="仿宋_GB2312" w:eastAsia="仿宋_GB2312" w:cs="Arial"/>
                <w:sz w:val="21"/>
                <w:szCs w:val="21"/>
                <w:highlight w:val="none"/>
                <w:lang w:val="en-US" w:eastAsia="zh-CN"/>
              </w:rPr>
              <w:t>/</w:t>
            </w:r>
            <w:r>
              <w:rPr>
                <w:rFonts w:ascii="仿宋_GB2312" w:hAnsi="仿宋_GB2312" w:eastAsia="仿宋_GB2312" w:cs="Arial"/>
                <w:sz w:val="21"/>
                <w:szCs w:val="21"/>
                <w:highlight w:val="none"/>
              </w:rPr>
              <w:t>7</w:t>
            </w:r>
            <w:r>
              <w:rPr>
                <w:rFonts w:hint="eastAsia" w:ascii="仿宋_GB2312" w:hAnsi="仿宋_GB2312" w:eastAsia="仿宋_GB2312" w:cs="Arial"/>
                <w:sz w:val="21"/>
                <w:szCs w:val="21"/>
                <w:highlight w:val="none"/>
                <w:lang w:val="en-US" w:eastAsia="zh-CN"/>
              </w:rPr>
              <w:t>/</w:t>
            </w:r>
            <w:r>
              <w:rPr>
                <w:rFonts w:ascii="仿宋_GB2312" w:hAnsi="仿宋_GB2312" w:eastAsia="仿宋_GB2312" w:cs="Arial"/>
                <w:sz w:val="21"/>
                <w:szCs w:val="21"/>
                <w:highlight w:val="none"/>
              </w:rPr>
              <w:t>21</w:t>
            </w:r>
          </w:p>
        </w:tc>
        <w:tc>
          <w:tcPr>
            <w:tcW w:w="663" w:type="pct"/>
            <w:vAlign w:val="center"/>
          </w:tcPr>
          <w:p>
            <w:pPr>
              <w:jc w:val="center"/>
              <w:rPr>
                <w:rFonts w:ascii="仿宋_GB2312" w:hAnsi="仿宋_GB2312" w:eastAsia="仿宋_GB2312" w:cs="Arial"/>
                <w:sz w:val="21"/>
                <w:szCs w:val="21"/>
                <w:highlight w:val="none"/>
              </w:rPr>
            </w:pPr>
            <w:r>
              <w:rPr>
                <w:rFonts w:ascii="仿宋_GB2312" w:hAnsi="仿宋_GB2312" w:eastAsia="仿宋_GB2312" w:cs="Arial"/>
                <w:sz w:val="21"/>
                <w:szCs w:val="21"/>
                <w:highlight w:val="none"/>
              </w:rPr>
              <w:t>2024</w:t>
            </w:r>
            <w:r>
              <w:rPr>
                <w:rFonts w:hint="eastAsia" w:ascii="仿宋_GB2312" w:hAnsi="仿宋_GB2312" w:eastAsia="仿宋_GB2312" w:cs="Arial"/>
                <w:sz w:val="21"/>
                <w:szCs w:val="21"/>
                <w:highlight w:val="none"/>
                <w:lang w:val="en-US" w:eastAsia="zh-CN"/>
              </w:rPr>
              <w:t>/</w:t>
            </w:r>
            <w:r>
              <w:rPr>
                <w:rFonts w:ascii="仿宋_GB2312" w:hAnsi="仿宋_GB2312" w:eastAsia="仿宋_GB2312" w:cs="Arial"/>
                <w:sz w:val="21"/>
                <w:szCs w:val="21"/>
                <w:highlight w:val="none"/>
              </w:rPr>
              <w:t>7</w:t>
            </w:r>
            <w:r>
              <w:rPr>
                <w:rFonts w:hint="eastAsia" w:ascii="仿宋_GB2312" w:hAnsi="仿宋_GB2312" w:eastAsia="仿宋_GB2312" w:cs="Arial"/>
                <w:sz w:val="21"/>
                <w:szCs w:val="21"/>
                <w:highlight w:val="none"/>
                <w:lang w:val="en-US" w:eastAsia="zh-CN"/>
              </w:rPr>
              <w:t>/</w:t>
            </w:r>
            <w:r>
              <w:rPr>
                <w:rFonts w:ascii="仿宋_GB2312" w:hAnsi="仿宋_GB2312" w:eastAsia="仿宋_GB2312" w:cs="Arial"/>
                <w:sz w:val="21"/>
                <w:szCs w:val="21"/>
                <w:highlight w:val="non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76" w:type="pct"/>
            <w:vAlign w:val="center"/>
          </w:tcPr>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7</w:t>
            </w:r>
          </w:p>
        </w:tc>
        <w:tc>
          <w:tcPr>
            <w:tcW w:w="1601" w:type="pct"/>
            <w:vAlign w:val="center"/>
          </w:tcPr>
          <w:p>
            <w:pPr>
              <w:jc w:val="center"/>
              <w:rPr>
                <w:rFonts w:ascii="仿宋_GB2312" w:hAnsi="仿宋_GB2312" w:eastAsia="仿宋_GB2312" w:cs="仿宋_GB2312"/>
                <w:color w:val="000000"/>
                <w:sz w:val="21"/>
                <w:szCs w:val="21"/>
                <w:highlight w:val="none"/>
              </w:rPr>
            </w:pPr>
            <w:r>
              <w:rPr>
                <w:rFonts w:ascii="仿宋_GB2312" w:hAnsi="仿宋_GB2312" w:eastAsia="仿宋_GB2312" w:cs="仿宋_GB2312"/>
                <w:color w:val="000000"/>
                <w:sz w:val="21"/>
                <w:szCs w:val="21"/>
                <w:highlight w:val="none"/>
              </w:rPr>
              <w:t>如何通过技术创新在中国实现生物柴油的绿色生产？</w:t>
            </w:r>
          </w:p>
        </w:tc>
        <w:tc>
          <w:tcPr>
            <w:tcW w:w="911" w:type="pct"/>
            <w:vAlign w:val="center"/>
          </w:tcPr>
          <w:p>
            <w:pPr>
              <w:jc w:val="center"/>
              <w:rPr>
                <w:rFonts w:ascii="仿宋_GB2312" w:hAnsi="仿宋_GB2312" w:eastAsia="仿宋_GB2312" w:cs="仿宋_GB2312"/>
                <w:color w:val="000000"/>
                <w:sz w:val="21"/>
                <w:szCs w:val="21"/>
                <w:highlight w:val="none"/>
              </w:rPr>
            </w:pPr>
            <w:r>
              <w:rPr>
                <w:rFonts w:ascii="仿宋_GB2312" w:hAnsi="仿宋_GB2312" w:eastAsia="仿宋_GB2312" w:cs="仿宋_GB2312"/>
                <w:color w:val="000000"/>
                <w:sz w:val="21"/>
                <w:szCs w:val="21"/>
                <w:highlight w:val="none"/>
              </w:rPr>
              <w:t>Roberto Rinaldi</w:t>
            </w:r>
          </w:p>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帝国理工学院化学工程副教授</w:t>
            </w:r>
          </w:p>
        </w:tc>
        <w:tc>
          <w:tcPr>
            <w:tcW w:w="389" w:type="pct"/>
            <w:vAlign w:val="center"/>
          </w:tcPr>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上海</w:t>
            </w:r>
          </w:p>
        </w:tc>
        <w:tc>
          <w:tcPr>
            <w:tcW w:w="382" w:type="pct"/>
            <w:vAlign w:val="center"/>
          </w:tcPr>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一期</w:t>
            </w:r>
          </w:p>
        </w:tc>
        <w:tc>
          <w:tcPr>
            <w:tcW w:w="676" w:type="pct"/>
            <w:vAlign w:val="center"/>
          </w:tcPr>
          <w:p>
            <w:pPr>
              <w:jc w:val="center"/>
              <w:rPr>
                <w:rFonts w:ascii="仿宋_GB2312" w:hAnsi="仿宋_GB2312" w:eastAsia="仿宋_GB2312" w:cs="Arial"/>
                <w:sz w:val="21"/>
                <w:szCs w:val="21"/>
                <w:highlight w:val="none"/>
              </w:rPr>
            </w:pPr>
            <w:r>
              <w:rPr>
                <w:rFonts w:ascii="仿宋_GB2312" w:hAnsi="仿宋_GB2312" w:eastAsia="仿宋_GB2312" w:cs="Arial"/>
                <w:sz w:val="21"/>
                <w:szCs w:val="21"/>
                <w:highlight w:val="none"/>
              </w:rPr>
              <w:t>2024</w:t>
            </w:r>
            <w:r>
              <w:rPr>
                <w:rFonts w:hint="eastAsia" w:ascii="仿宋_GB2312" w:hAnsi="仿宋_GB2312" w:eastAsia="仿宋_GB2312" w:cs="Arial"/>
                <w:sz w:val="21"/>
                <w:szCs w:val="21"/>
                <w:highlight w:val="none"/>
                <w:lang w:val="en-US" w:eastAsia="zh-CN"/>
              </w:rPr>
              <w:t>/</w:t>
            </w:r>
            <w:r>
              <w:rPr>
                <w:rFonts w:ascii="仿宋_GB2312" w:hAnsi="仿宋_GB2312" w:eastAsia="仿宋_GB2312" w:cs="Arial"/>
                <w:sz w:val="21"/>
                <w:szCs w:val="21"/>
                <w:highlight w:val="none"/>
              </w:rPr>
              <w:t>7</w:t>
            </w:r>
            <w:r>
              <w:rPr>
                <w:rFonts w:hint="eastAsia" w:ascii="仿宋_GB2312" w:hAnsi="仿宋_GB2312" w:eastAsia="仿宋_GB2312" w:cs="Arial"/>
                <w:sz w:val="21"/>
                <w:szCs w:val="21"/>
                <w:highlight w:val="none"/>
                <w:lang w:val="en-US" w:eastAsia="zh-CN"/>
              </w:rPr>
              <w:t>/</w:t>
            </w:r>
            <w:r>
              <w:rPr>
                <w:rFonts w:ascii="仿宋_GB2312" w:hAnsi="仿宋_GB2312" w:eastAsia="仿宋_GB2312" w:cs="Arial"/>
                <w:sz w:val="21"/>
                <w:szCs w:val="21"/>
                <w:highlight w:val="none"/>
              </w:rPr>
              <w:t>21</w:t>
            </w:r>
          </w:p>
        </w:tc>
        <w:tc>
          <w:tcPr>
            <w:tcW w:w="663" w:type="pct"/>
            <w:vAlign w:val="center"/>
          </w:tcPr>
          <w:p>
            <w:pPr>
              <w:jc w:val="center"/>
              <w:rPr>
                <w:rFonts w:ascii="仿宋_GB2312" w:hAnsi="仿宋_GB2312" w:eastAsia="仿宋_GB2312" w:cs="Arial"/>
                <w:sz w:val="21"/>
                <w:szCs w:val="21"/>
                <w:highlight w:val="none"/>
              </w:rPr>
            </w:pPr>
            <w:r>
              <w:rPr>
                <w:rFonts w:ascii="仿宋_GB2312" w:hAnsi="仿宋_GB2312" w:eastAsia="仿宋_GB2312" w:cs="Arial"/>
                <w:sz w:val="21"/>
                <w:szCs w:val="21"/>
                <w:highlight w:val="none"/>
              </w:rPr>
              <w:t>2024</w:t>
            </w:r>
            <w:r>
              <w:rPr>
                <w:rFonts w:hint="eastAsia" w:ascii="仿宋_GB2312" w:hAnsi="仿宋_GB2312" w:eastAsia="仿宋_GB2312" w:cs="Arial"/>
                <w:sz w:val="21"/>
                <w:szCs w:val="21"/>
                <w:highlight w:val="none"/>
                <w:lang w:val="en-US" w:eastAsia="zh-CN"/>
              </w:rPr>
              <w:t>/</w:t>
            </w:r>
            <w:r>
              <w:rPr>
                <w:rFonts w:ascii="仿宋_GB2312" w:hAnsi="仿宋_GB2312" w:eastAsia="仿宋_GB2312" w:cs="Arial"/>
                <w:sz w:val="21"/>
                <w:szCs w:val="21"/>
                <w:highlight w:val="none"/>
              </w:rPr>
              <w:t>7</w:t>
            </w:r>
            <w:r>
              <w:rPr>
                <w:rFonts w:hint="eastAsia" w:ascii="仿宋_GB2312" w:hAnsi="仿宋_GB2312" w:eastAsia="仿宋_GB2312" w:cs="Arial"/>
                <w:sz w:val="21"/>
                <w:szCs w:val="21"/>
                <w:highlight w:val="none"/>
                <w:lang w:val="en-US" w:eastAsia="zh-CN"/>
              </w:rPr>
              <w:t>/</w:t>
            </w:r>
            <w:r>
              <w:rPr>
                <w:rFonts w:ascii="仿宋_GB2312" w:hAnsi="仿宋_GB2312" w:eastAsia="仿宋_GB2312" w:cs="Arial"/>
                <w:sz w:val="21"/>
                <w:szCs w:val="21"/>
                <w:highlight w:val="non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76" w:type="pct"/>
            <w:vAlign w:val="center"/>
          </w:tcPr>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8</w:t>
            </w:r>
          </w:p>
        </w:tc>
        <w:tc>
          <w:tcPr>
            <w:tcW w:w="1601" w:type="pct"/>
            <w:vAlign w:val="center"/>
          </w:tcPr>
          <w:p>
            <w:pPr>
              <w:jc w:val="center"/>
              <w:rPr>
                <w:rFonts w:ascii="仿宋_GB2312" w:hAnsi="仿宋_GB2312" w:eastAsia="仿宋_GB2312" w:cs="仿宋_GB2312"/>
                <w:color w:val="000000"/>
                <w:sz w:val="21"/>
                <w:szCs w:val="21"/>
                <w:highlight w:val="none"/>
              </w:rPr>
            </w:pPr>
            <w:r>
              <w:rPr>
                <w:rFonts w:ascii="仿宋_GB2312" w:hAnsi="仿宋_GB2312" w:eastAsia="仿宋_GB2312" w:cs="仿宋_GB2312"/>
                <w:color w:val="000000"/>
                <w:sz w:val="21"/>
                <w:szCs w:val="21"/>
                <w:highlight w:val="none"/>
              </w:rPr>
              <w:t>分子自组装原理如何赋能现代精准医疗？</w:t>
            </w:r>
          </w:p>
        </w:tc>
        <w:tc>
          <w:tcPr>
            <w:tcW w:w="911" w:type="pct"/>
            <w:vAlign w:val="center"/>
          </w:tcPr>
          <w:p>
            <w:pPr>
              <w:jc w:val="center"/>
              <w:rPr>
                <w:rFonts w:ascii="仿宋_GB2312" w:hAnsi="仿宋_GB2312" w:eastAsia="仿宋_GB2312" w:cs="仿宋_GB2312"/>
                <w:color w:val="000000"/>
                <w:sz w:val="21"/>
                <w:szCs w:val="21"/>
                <w:highlight w:val="none"/>
              </w:rPr>
            </w:pPr>
            <w:r>
              <w:rPr>
                <w:rFonts w:ascii="仿宋_GB2312" w:hAnsi="仿宋_GB2312" w:eastAsia="仿宋_GB2312" w:cs="仿宋_GB2312"/>
                <w:color w:val="000000"/>
                <w:sz w:val="21"/>
                <w:szCs w:val="21"/>
                <w:highlight w:val="none"/>
              </w:rPr>
              <w:t>Stefan Guldin</w:t>
            </w:r>
          </w:p>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伦敦大学学院纳米材料教授</w:t>
            </w:r>
          </w:p>
        </w:tc>
        <w:tc>
          <w:tcPr>
            <w:tcW w:w="389" w:type="pct"/>
            <w:vAlign w:val="center"/>
          </w:tcPr>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上海</w:t>
            </w:r>
          </w:p>
        </w:tc>
        <w:tc>
          <w:tcPr>
            <w:tcW w:w="382" w:type="pct"/>
            <w:vAlign w:val="center"/>
          </w:tcPr>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二期</w:t>
            </w:r>
          </w:p>
        </w:tc>
        <w:tc>
          <w:tcPr>
            <w:tcW w:w="676" w:type="pct"/>
            <w:vAlign w:val="center"/>
          </w:tcPr>
          <w:p>
            <w:pPr>
              <w:jc w:val="center"/>
              <w:rPr>
                <w:rFonts w:ascii="仿宋_GB2312" w:hAnsi="仿宋_GB2312" w:eastAsia="仿宋_GB2312" w:cs="Arial"/>
                <w:sz w:val="21"/>
                <w:szCs w:val="21"/>
                <w:highlight w:val="none"/>
              </w:rPr>
            </w:pPr>
            <w:r>
              <w:rPr>
                <w:rFonts w:ascii="仿宋_GB2312" w:hAnsi="仿宋_GB2312" w:eastAsia="仿宋_GB2312" w:cs="Arial"/>
                <w:sz w:val="21"/>
                <w:szCs w:val="21"/>
                <w:highlight w:val="none"/>
              </w:rPr>
              <w:t>2024</w:t>
            </w:r>
            <w:r>
              <w:rPr>
                <w:rFonts w:hint="eastAsia" w:ascii="仿宋_GB2312" w:hAnsi="仿宋_GB2312" w:eastAsia="仿宋_GB2312" w:cs="Arial"/>
                <w:sz w:val="21"/>
                <w:szCs w:val="21"/>
                <w:highlight w:val="none"/>
                <w:lang w:val="en-US" w:eastAsia="zh-CN"/>
              </w:rPr>
              <w:t>/</w:t>
            </w:r>
            <w:r>
              <w:rPr>
                <w:rFonts w:ascii="仿宋_GB2312" w:hAnsi="仿宋_GB2312" w:eastAsia="仿宋_GB2312" w:cs="Arial"/>
                <w:sz w:val="21"/>
                <w:szCs w:val="21"/>
                <w:highlight w:val="none"/>
              </w:rPr>
              <w:t>7</w:t>
            </w:r>
            <w:r>
              <w:rPr>
                <w:rFonts w:hint="eastAsia" w:ascii="仿宋_GB2312" w:hAnsi="仿宋_GB2312" w:eastAsia="仿宋_GB2312" w:cs="Arial"/>
                <w:sz w:val="21"/>
                <w:szCs w:val="21"/>
                <w:highlight w:val="none"/>
                <w:lang w:val="en-US" w:eastAsia="zh-CN"/>
              </w:rPr>
              <w:t>/</w:t>
            </w:r>
            <w:r>
              <w:rPr>
                <w:rFonts w:ascii="仿宋_GB2312" w:hAnsi="仿宋_GB2312" w:eastAsia="仿宋_GB2312" w:cs="Arial"/>
                <w:sz w:val="21"/>
                <w:szCs w:val="21"/>
                <w:highlight w:val="none"/>
              </w:rPr>
              <w:t>29</w:t>
            </w:r>
          </w:p>
        </w:tc>
        <w:tc>
          <w:tcPr>
            <w:tcW w:w="663" w:type="pct"/>
            <w:vAlign w:val="center"/>
          </w:tcPr>
          <w:p>
            <w:pPr>
              <w:jc w:val="center"/>
              <w:rPr>
                <w:rFonts w:ascii="仿宋_GB2312" w:hAnsi="仿宋_GB2312" w:eastAsia="仿宋_GB2312" w:cs="Arial"/>
                <w:sz w:val="21"/>
                <w:szCs w:val="21"/>
                <w:highlight w:val="none"/>
              </w:rPr>
            </w:pPr>
            <w:r>
              <w:rPr>
                <w:rFonts w:ascii="仿宋_GB2312" w:hAnsi="仿宋_GB2312" w:eastAsia="仿宋_GB2312" w:cs="Arial"/>
                <w:sz w:val="21"/>
                <w:szCs w:val="21"/>
                <w:highlight w:val="none"/>
              </w:rPr>
              <w:t>2024</w:t>
            </w:r>
            <w:r>
              <w:rPr>
                <w:rFonts w:hint="eastAsia" w:ascii="仿宋_GB2312" w:hAnsi="仿宋_GB2312" w:eastAsia="仿宋_GB2312" w:cs="Arial"/>
                <w:sz w:val="21"/>
                <w:szCs w:val="21"/>
                <w:highlight w:val="none"/>
                <w:lang w:val="en-US" w:eastAsia="zh-CN"/>
              </w:rPr>
              <w:t>/</w:t>
            </w:r>
            <w:r>
              <w:rPr>
                <w:rFonts w:ascii="仿宋_GB2312" w:hAnsi="仿宋_GB2312" w:eastAsia="仿宋_GB2312" w:cs="Arial"/>
                <w:sz w:val="21"/>
                <w:szCs w:val="21"/>
                <w:highlight w:val="none"/>
              </w:rPr>
              <w:t>8</w:t>
            </w:r>
            <w:r>
              <w:rPr>
                <w:rFonts w:hint="eastAsia" w:ascii="仿宋_GB2312" w:hAnsi="仿宋_GB2312" w:eastAsia="仿宋_GB2312" w:cs="Arial"/>
                <w:sz w:val="21"/>
                <w:szCs w:val="21"/>
                <w:highlight w:val="none"/>
                <w:lang w:val="en-US" w:eastAsia="zh-CN"/>
              </w:rPr>
              <w:t>/</w:t>
            </w:r>
            <w:r>
              <w:rPr>
                <w:rFonts w:ascii="仿宋_GB2312" w:hAnsi="仿宋_GB2312" w:eastAsia="仿宋_GB2312" w:cs="Arial"/>
                <w:sz w:val="21"/>
                <w:szCs w:val="21"/>
                <w:highlight w:val="none"/>
              </w:rPr>
              <w:t>4</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973F293-6403-463C-9F18-F3B13ED526F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4F4358B-2059-406A-AD25-CF0B7EE4C718}"/>
  </w:font>
  <w:font w:name="仿宋_GB2312">
    <w:panose1 w:val="02010609030101010101"/>
    <w:charset w:val="86"/>
    <w:family w:val="auto"/>
    <w:pitch w:val="default"/>
    <w:sig w:usb0="00000001" w:usb1="080E0000" w:usb2="00000000" w:usb3="00000000" w:csb0="00040000" w:csb1="00000000"/>
    <w:embedRegular r:id="rId3" w:fontKey="{8DAAEB83-77D5-4858-944E-5C9325A2A244}"/>
  </w:font>
  <w:font w:name="方正小标宋简体">
    <w:panose1 w:val="02000000000000000000"/>
    <w:charset w:val="86"/>
    <w:family w:val="script"/>
    <w:pitch w:val="default"/>
    <w:sig w:usb0="00000001" w:usb1="08000000" w:usb2="00000000" w:usb3="00000000" w:csb0="00040000" w:csb1="00000000"/>
    <w:embedRegular r:id="rId4" w:fontKey="{4AB094C9-A317-4074-97CA-F55AD1FF525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YmZlMjI5M2IyYTU5ZWI0OWU3NjY2Zjk5ZGFmYWEifQ=="/>
  </w:docVars>
  <w:rsids>
    <w:rsidRoot w:val="26DE712F"/>
    <w:rsid w:val="26DE7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2024-06-27T06:51:00Z</dcterms:created>
  <dc:creator>ZhangXiaoyi</dc:creator>
  <cp:lastModifiedBy>ZhangXiaoyi</cp:lastModifiedBy>
  <dcterms:modified xsi:type="dcterms:W3CDTF">2024-06-27T06:52:04Z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2222311C1F764AB393C0D5BEEC6FA3FD_11</vt:lpwstr>
  </property>
</Properties>
</file>