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960" w:hanging="960" w:hangingChars="300"/>
        <w:jc w:val="both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z w:val="36"/>
          <w:szCs w:val="36"/>
          <w:lang w:eastAsia="zh-CN"/>
        </w:rPr>
        <w:t>202</w:t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1</w:t>
      </w:r>
      <w:r>
        <w:rPr>
          <w:rFonts w:hint="eastAsia" w:ascii="宋体" w:hAnsi="宋体" w:eastAsia="宋体" w:cs="宋体"/>
          <w:sz w:val="36"/>
          <w:szCs w:val="36"/>
        </w:rPr>
        <w:t>年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度</w:t>
      </w:r>
      <w:r>
        <w:rPr>
          <w:rFonts w:hint="eastAsia" w:ascii="宋体" w:hAnsi="宋体" w:eastAsia="宋体" w:cs="宋体"/>
          <w:sz w:val="36"/>
          <w:szCs w:val="36"/>
        </w:rPr>
        <w:t>北京理工大学研究生教育培养综合改革教研教改一般项目认定</w:t>
      </w:r>
      <w:r>
        <w:rPr>
          <w:rFonts w:hint="eastAsia" w:ascii="宋体" w:hAnsi="宋体" w:eastAsia="宋体" w:cs="宋体"/>
          <w:sz w:val="36"/>
          <w:szCs w:val="36"/>
          <w:lang w:eastAsia="zh-CN"/>
        </w:rPr>
        <w:t>结果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hanging="1080" w:hangingChars="300"/>
        <w:jc w:val="center"/>
        <w:textAlignment w:val="auto"/>
        <w:rPr>
          <w:rFonts w:hint="eastAsia" w:ascii="宋体" w:hAnsi="宋体" w:eastAsia="宋体" w:cs="宋体"/>
          <w:sz w:val="36"/>
          <w:szCs w:val="36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875"/>
        <w:gridCol w:w="7665"/>
        <w:gridCol w:w="1305"/>
        <w:gridCol w:w="2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项目编号</w:t>
            </w:r>
          </w:p>
        </w:tc>
        <w:tc>
          <w:tcPr>
            <w:tcW w:w="766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项目名称</w:t>
            </w:r>
          </w:p>
        </w:tc>
        <w:tc>
          <w:tcPr>
            <w:tcW w:w="1305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2371" w:type="dxa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2021YBJG001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研究生课程《随机振动》的教学改革研究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靳艳飞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宇航学院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2021YBJG002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兵器学科研究生创新人才培养模式探究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戴开达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2021YBJG003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基于创新能力提升导向的车辆动力学教研教改项目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魏  超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机械与车辆学院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2021YBJG004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“双一流”背景下流体力学类课程育人模式改革研究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吴  钦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机械与车辆学院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2021YBJG005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Jigsaw拼图式教学法在全英文专业课中的实践与探索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周  雅 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2021YBJG006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融合多物理场仿真的微系统设计课程建设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张金英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光电学院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2021YBJG007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信息与通信工程研究生教育教学改革新探索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李永哲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2021YBJG008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以“双一流”建设为导向的研究生国际化视野培养研究与实践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王  晶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1875" w:type="dxa"/>
          </w:tcPr>
          <w:p>
            <w:pPr>
              <w:jc w:val="center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2021YBJG009</w:t>
            </w:r>
          </w:p>
        </w:tc>
        <w:tc>
          <w:tcPr>
            <w:tcW w:w="76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高速数字电路课程改革与实践</w:t>
            </w:r>
          </w:p>
        </w:tc>
        <w:tc>
          <w:tcPr>
            <w:tcW w:w="130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房丽丽</w:t>
            </w:r>
          </w:p>
        </w:tc>
        <w:tc>
          <w:tcPr>
            <w:tcW w:w="237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信息与电子学院</w:t>
            </w:r>
          </w:p>
        </w:tc>
      </w:tr>
    </w:tbl>
    <w:p>
      <w:pPr>
        <w:rPr>
          <w:rFonts w:hint="eastAsia" w:ascii="宋体" w:hAnsi="宋体" w:eastAsia="宋体" w:cs="宋体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8A7E04"/>
    <w:rsid w:val="079429A8"/>
    <w:rsid w:val="0E861DFE"/>
    <w:rsid w:val="13A52CF5"/>
    <w:rsid w:val="1CE2523B"/>
    <w:rsid w:val="2E3174DD"/>
    <w:rsid w:val="30F74DFC"/>
    <w:rsid w:val="31717451"/>
    <w:rsid w:val="3A0223CA"/>
    <w:rsid w:val="3C362D74"/>
    <w:rsid w:val="40125FE3"/>
    <w:rsid w:val="499F0DB5"/>
    <w:rsid w:val="4BC140F0"/>
    <w:rsid w:val="62387F8D"/>
    <w:rsid w:val="67AC671F"/>
    <w:rsid w:val="6CFB6878"/>
    <w:rsid w:val="7448195B"/>
    <w:rsid w:val="7F0B39A9"/>
    <w:rsid w:val="7F3C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2021-12-15T04:47:00Z</dcterms:created>
  <dc:creator>pc</dc:creator>
  <cp:lastModifiedBy>鄂嵋</cp:lastModifiedBy>
  <dcterms:modified xsi:type="dcterms:W3CDTF">2021-12-20T08:01:16Z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C9B61467A05140DCAA7E356B73D7FEAE</vt:lpwstr>
  </property>
</Properties>
</file>